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16" w:rsidRDefault="00D21376" w:rsidP="00671916">
      <w:pPr>
        <w:jc w:val="center"/>
        <w:rPr>
          <w:b/>
          <w:color w:val="000000"/>
          <w:sz w:val="32"/>
          <w:szCs w:val="32"/>
        </w:rPr>
      </w:pPr>
      <w:bookmarkStart w:id="0" w:name="_GoBack"/>
      <w:bookmarkEnd w:id="0"/>
      <w:r w:rsidRPr="009378DF">
        <w:rPr>
          <w:rFonts w:hint="eastAsia"/>
          <w:b/>
          <w:color w:val="000000"/>
          <w:sz w:val="32"/>
          <w:szCs w:val="32"/>
        </w:rPr>
        <w:t xml:space="preserve"> </w:t>
      </w:r>
      <w:r w:rsidR="00671916" w:rsidRPr="009378DF">
        <w:rPr>
          <w:rFonts w:hint="eastAsia"/>
          <w:b/>
          <w:color w:val="000000"/>
          <w:sz w:val="32"/>
          <w:szCs w:val="32"/>
        </w:rPr>
        <w:t>“乾元—满溢”</w:t>
      </w:r>
      <w:r w:rsidR="00671916">
        <w:rPr>
          <w:rFonts w:hint="eastAsia"/>
          <w:b/>
          <w:color w:val="000000"/>
          <w:sz w:val="32"/>
          <w:szCs w:val="32"/>
        </w:rPr>
        <w:t>6</w:t>
      </w:r>
      <w:r w:rsidR="00671916" w:rsidRPr="009378DF">
        <w:rPr>
          <w:rFonts w:hint="eastAsia"/>
          <w:b/>
          <w:color w:val="000000"/>
          <w:sz w:val="32"/>
          <w:szCs w:val="32"/>
        </w:rPr>
        <w:t>0</w:t>
      </w:r>
      <w:r w:rsidR="00671916" w:rsidRPr="009378DF">
        <w:rPr>
          <w:rFonts w:hint="eastAsia"/>
          <w:b/>
          <w:color w:val="000000"/>
          <w:sz w:val="32"/>
          <w:szCs w:val="32"/>
        </w:rPr>
        <w:t>天开放式资产组合型人民币理财产品</w:t>
      </w:r>
    </w:p>
    <w:p w:rsidR="00671916" w:rsidRPr="00EE774A" w:rsidRDefault="00671916" w:rsidP="00671916">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671916" w:rsidRPr="00EE774A" w:rsidRDefault="00671916" w:rsidP="00671916">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551CA5">
        <w:rPr>
          <w:rFonts w:ascii="宋体" w:hAnsi="宋体" w:hint="eastAsia"/>
          <w:color w:val="000000"/>
          <w:szCs w:val="21"/>
        </w:rPr>
        <w:t>8</w:t>
      </w:r>
      <w:r w:rsidRPr="00EE774A">
        <w:rPr>
          <w:rFonts w:ascii="宋体" w:hAnsi="宋体" w:hint="eastAsia"/>
          <w:color w:val="000000"/>
          <w:szCs w:val="21"/>
        </w:rPr>
        <w:t>年</w:t>
      </w:r>
      <w:r w:rsidR="002C4585">
        <w:rPr>
          <w:rFonts w:ascii="宋体" w:hAnsi="宋体" w:hint="eastAsia"/>
          <w:color w:val="000000"/>
          <w:szCs w:val="21"/>
        </w:rPr>
        <w:t>1</w:t>
      </w:r>
      <w:r>
        <w:rPr>
          <w:rFonts w:ascii="宋体" w:hAnsi="宋体" w:hint="eastAsia"/>
          <w:color w:val="000000"/>
          <w:szCs w:val="21"/>
        </w:rPr>
        <w:t>月</w:t>
      </w:r>
      <w:r w:rsidR="00551CA5">
        <w:rPr>
          <w:rFonts w:ascii="宋体" w:hAnsi="宋体" w:hint="eastAsia"/>
          <w:color w:val="000000"/>
          <w:szCs w:val="21"/>
        </w:rPr>
        <w:t>31</w:t>
      </w:r>
      <w:r>
        <w:rPr>
          <w:rFonts w:ascii="宋体" w:hAnsi="宋体" w:hint="eastAsia"/>
          <w:color w:val="000000"/>
          <w:szCs w:val="21"/>
        </w:rPr>
        <w:t>日</w:t>
      </w:r>
      <w:r w:rsidR="00AB78F9">
        <w:rPr>
          <w:rFonts w:ascii="宋体" w:hAnsi="宋体" w:hint="eastAsia"/>
          <w:color w:val="000000"/>
          <w:szCs w:val="21"/>
        </w:rPr>
        <w:t xml:space="preserve"> </w:t>
      </w:r>
    </w:p>
    <w:p w:rsidR="00671916" w:rsidRPr="000A55B8" w:rsidRDefault="00671916" w:rsidP="00551CA5">
      <w:pPr>
        <w:ind w:firstLine="420"/>
        <w:rPr>
          <w:rFonts w:ascii="宋体" w:hAnsi="宋体"/>
          <w:color w:val="000000"/>
          <w:sz w:val="28"/>
          <w:szCs w:val="28"/>
        </w:rPr>
      </w:pPr>
      <w:r w:rsidRPr="00AC23D9">
        <w:rPr>
          <w:rFonts w:ascii="宋体" w:hAnsi="宋体" w:hint="eastAsia"/>
          <w:color w:val="000000"/>
          <w:sz w:val="28"/>
          <w:szCs w:val="28"/>
        </w:rPr>
        <w:t>“乾元—满溢”60天开放式资产组合型人民币理财产品（机构版）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EE774A">
        <w:rPr>
          <w:rFonts w:ascii="宋体" w:hAnsi="宋体" w:cs="宋体" w:hint="eastAsia"/>
          <w:bCs/>
          <w:color w:val="000000"/>
          <w:kern w:val="0"/>
          <w:sz w:val="28"/>
          <w:szCs w:val="28"/>
        </w:rPr>
        <w:t xml:space="preserve">               </w:t>
      </w:r>
      <w:r w:rsidRPr="00000D4B">
        <w:rPr>
          <w:rFonts w:ascii="宋体" w:hAnsi="宋体" w:cs="宋体" w:hint="eastAsia"/>
          <w:bCs/>
          <w:color w:val="000000"/>
          <w:kern w:val="0"/>
          <w:sz w:val="28"/>
          <w:szCs w:val="28"/>
        </w:rPr>
        <w:t xml:space="preserve">   </w:t>
      </w:r>
      <w:r w:rsidRPr="0005385D">
        <w:rPr>
          <w:rFonts w:ascii="宋体" w:hAnsi="宋体" w:cs="宋体" w:hint="eastAsia"/>
          <w:bCs/>
          <w:color w:val="000000"/>
          <w:kern w:val="0"/>
          <w:sz w:val="28"/>
          <w:szCs w:val="28"/>
        </w:rPr>
        <w:t xml:space="preserve">    </w:t>
      </w:r>
      <w:r w:rsidRPr="005D1270">
        <w:rPr>
          <w:rFonts w:ascii="宋体" w:hAnsi="宋体" w:cs="宋体" w:hint="eastAsia"/>
          <w:bCs/>
          <w:color w:val="000000"/>
          <w:kern w:val="0"/>
          <w:sz w:val="28"/>
          <w:szCs w:val="28"/>
        </w:rPr>
        <w:t xml:space="preserve">    </w:t>
      </w:r>
      <w:r w:rsidRPr="00AC15F3">
        <w:rPr>
          <w:rFonts w:ascii="宋体" w:hAnsi="宋体" w:cs="宋体" w:hint="eastAsia"/>
          <w:bCs/>
          <w:color w:val="000000"/>
          <w:kern w:val="0"/>
          <w:sz w:val="28"/>
          <w:szCs w:val="28"/>
        </w:rPr>
        <w:t xml:space="preserve">   </w:t>
      </w:r>
      <w:r w:rsidRPr="00CF768F">
        <w:rPr>
          <w:rFonts w:ascii="宋体" w:hAnsi="宋体" w:cs="宋体" w:hint="eastAsia"/>
          <w:bCs/>
          <w:color w:val="000000"/>
          <w:kern w:val="0"/>
          <w:sz w:val="28"/>
          <w:szCs w:val="28"/>
        </w:rPr>
        <w:t xml:space="preserve">    </w:t>
      </w:r>
      <w:r w:rsidRPr="0035334D">
        <w:rPr>
          <w:rFonts w:ascii="宋体" w:hAnsi="宋体" w:cs="宋体" w:hint="eastAsia"/>
          <w:bCs/>
          <w:color w:val="000000"/>
          <w:kern w:val="0"/>
          <w:sz w:val="28"/>
          <w:szCs w:val="28"/>
        </w:rPr>
        <w:t xml:space="preserve">    </w:t>
      </w:r>
      <w:r w:rsidRPr="00162740">
        <w:rPr>
          <w:rFonts w:ascii="宋体" w:hAnsi="宋体" w:cs="宋体" w:hint="eastAsia"/>
          <w:bCs/>
          <w:color w:val="000000"/>
          <w:kern w:val="0"/>
          <w:sz w:val="28"/>
          <w:szCs w:val="28"/>
        </w:rPr>
        <w:t xml:space="preserve">    </w:t>
      </w:r>
      <w:r w:rsidR="00551CA5" w:rsidRPr="00551CA5">
        <w:rPr>
          <w:rFonts w:ascii="宋体" w:hAnsi="宋体" w:hint="eastAsia"/>
          <w:color w:val="000000"/>
          <w:sz w:val="28"/>
          <w:szCs w:val="28"/>
        </w:rPr>
        <w:t>1,705,197,020.00</w:t>
      </w:r>
      <w:r w:rsidRPr="002C4585">
        <w:rPr>
          <w:rFonts w:ascii="宋体" w:hAnsi="宋体" w:hint="eastAsia"/>
          <w:color w:val="000000"/>
          <w:sz w:val="28"/>
          <w:szCs w:val="28"/>
        </w:rPr>
        <w:t xml:space="preserve">元。  </w:t>
      </w:r>
    </w:p>
    <w:p w:rsidR="00671916" w:rsidRPr="00EE774A" w:rsidRDefault="00671916" w:rsidP="00671916">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551CA5" w:rsidRPr="00551CA5" w:rsidRDefault="00380EEE" w:rsidP="00551CA5">
      <w:pPr>
        <w:ind w:firstLine="420"/>
        <w:rPr>
          <w:rFonts w:ascii="宋体" w:hAnsi="宋体"/>
          <w:color w:val="000000"/>
          <w:sz w:val="28"/>
          <w:szCs w:val="28"/>
        </w:rPr>
      </w:pPr>
      <w:r>
        <w:rPr>
          <w:rFonts w:ascii="宋体" w:hAnsi="宋体" w:hint="eastAsia"/>
          <w:color w:val="000000"/>
          <w:sz w:val="28"/>
          <w:szCs w:val="28"/>
        </w:rPr>
        <w:t>中国建设银行</w:t>
      </w:r>
      <w:r w:rsidR="00551CA5" w:rsidRPr="00551CA5">
        <w:rPr>
          <w:rFonts w:ascii="宋体" w:hAnsi="宋体" w:hint="eastAsia"/>
          <w:color w:val="000000"/>
          <w:sz w:val="28"/>
          <w:szCs w:val="28"/>
        </w:rPr>
        <w:t>于</w:t>
      </w:r>
      <w:r w:rsidR="00551CA5" w:rsidRPr="00551CA5">
        <w:rPr>
          <w:rFonts w:ascii="宋体" w:hAnsi="宋体"/>
          <w:color w:val="000000"/>
          <w:sz w:val="28"/>
          <w:szCs w:val="28"/>
        </w:rPr>
        <w:t>2018</w:t>
      </w:r>
      <w:r w:rsidR="00551CA5" w:rsidRPr="00551CA5">
        <w:rPr>
          <w:rFonts w:ascii="宋体" w:hAnsi="宋体" w:hint="eastAsia"/>
          <w:color w:val="000000"/>
          <w:sz w:val="28"/>
          <w:szCs w:val="28"/>
        </w:rPr>
        <w:t>年</w:t>
      </w:r>
      <w:r w:rsidR="00551CA5" w:rsidRPr="00551CA5">
        <w:rPr>
          <w:rFonts w:ascii="宋体" w:hAnsi="宋体"/>
          <w:color w:val="000000"/>
          <w:sz w:val="28"/>
          <w:szCs w:val="28"/>
        </w:rPr>
        <w:t>1</w:t>
      </w:r>
      <w:r w:rsidR="00551CA5" w:rsidRPr="00551CA5">
        <w:rPr>
          <w:rFonts w:ascii="宋体" w:hAnsi="宋体" w:hint="eastAsia"/>
          <w:color w:val="000000"/>
          <w:sz w:val="28"/>
          <w:szCs w:val="28"/>
        </w:rPr>
        <w:t>月</w:t>
      </w:r>
      <w:r w:rsidR="00551CA5" w:rsidRPr="00551CA5">
        <w:rPr>
          <w:rFonts w:ascii="宋体" w:hAnsi="宋体"/>
          <w:color w:val="000000"/>
          <w:sz w:val="28"/>
          <w:szCs w:val="28"/>
        </w:rPr>
        <w:t>22</w:t>
      </w:r>
      <w:r w:rsidR="00551CA5" w:rsidRPr="00551CA5">
        <w:rPr>
          <w:rFonts w:ascii="宋体" w:hAnsi="宋体" w:hint="eastAsia"/>
          <w:color w:val="000000"/>
          <w:sz w:val="28"/>
          <w:szCs w:val="28"/>
        </w:rPr>
        <w:t>日（含）起，调整</w:t>
      </w:r>
      <w:r w:rsidR="00551CA5" w:rsidRPr="00551CA5">
        <w:rPr>
          <w:rFonts w:ascii="宋体" w:hAnsi="宋体"/>
          <w:color w:val="000000"/>
          <w:sz w:val="28"/>
          <w:szCs w:val="28"/>
        </w:rPr>
        <w:t>“</w:t>
      </w:r>
      <w:r w:rsidR="00551CA5" w:rsidRPr="00551CA5">
        <w:rPr>
          <w:rFonts w:ascii="宋体" w:hAnsi="宋体" w:hint="eastAsia"/>
          <w:color w:val="000000"/>
          <w:sz w:val="28"/>
          <w:szCs w:val="28"/>
        </w:rPr>
        <w:t>乾元</w:t>
      </w:r>
      <w:r w:rsidR="00551CA5" w:rsidRPr="00551CA5">
        <w:rPr>
          <w:rFonts w:ascii="宋体" w:hAnsi="宋体"/>
          <w:color w:val="000000"/>
          <w:sz w:val="28"/>
          <w:szCs w:val="28"/>
        </w:rPr>
        <w:t>—</w:t>
      </w:r>
      <w:r w:rsidR="00551CA5" w:rsidRPr="00551CA5">
        <w:rPr>
          <w:rFonts w:ascii="宋体" w:hAnsi="宋体" w:hint="eastAsia"/>
          <w:color w:val="000000"/>
          <w:sz w:val="28"/>
          <w:szCs w:val="28"/>
        </w:rPr>
        <w:t>满溢</w:t>
      </w:r>
      <w:r w:rsidR="00551CA5" w:rsidRPr="00551CA5">
        <w:rPr>
          <w:rFonts w:ascii="宋体" w:hAnsi="宋体"/>
          <w:color w:val="000000"/>
          <w:sz w:val="28"/>
          <w:szCs w:val="28"/>
        </w:rPr>
        <w:t>”60</w:t>
      </w:r>
      <w:r w:rsidR="00551CA5" w:rsidRPr="00551CA5">
        <w:rPr>
          <w:rFonts w:ascii="宋体" w:hAnsi="宋体" w:hint="eastAsia"/>
          <w:color w:val="000000"/>
          <w:sz w:val="28"/>
          <w:szCs w:val="28"/>
        </w:rPr>
        <w:t>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2354"/>
        <w:gridCol w:w="2986"/>
        <w:gridCol w:w="3053"/>
        <w:gridCol w:w="36"/>
      </w:tblGrid>
      <w:tr w:rsidR="00551CA5" w:rsidRPr="00551CA5" w:rsidTr="00551CA5">
        <w:trPr>
          <w:trHeight w:val="672"/>
        </w:trPr>
        <w:tc>
          <w:tcPr>
            <w:tcW w:w="14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rPr>
                <w:rFonts w:hint="eastAsia"/>
              </w:rPr>
              <w:t>档期设置</w:t>
            </w:r>
          </w:p>
        </w:tc>
        <w:tc>
          <w:tcPr>
            <w:tcW w:w="17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rPr>
                <w:rFonts w:hint="eastAsia"/>
              </w:rPr>
              <w:t>客户预期年化收益率（调整前）</w:t>
            </w:r>
          </w:p>
        </w:tc>
        <w:tc>
          <w:tcPr>
            <w:tcW w:w="18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rPr>
                <w:rFonts w:hint="eastAsia"/>
              </w:rPr>
              <w:t>客户预期年化收益率（调整后）</w:t>
            </w:r>
          </w:p>
        </w:tc>
        <w:tc>
          <w:tcPr>
            <w:tcW w:w="6" w:type="dxa"/>
            <w:vAlign w:val="center"/>
            <w:hideMark/>
          </w:tcPr>
          <w:p w:rsidR="00551CA5" w:rsidRPr="00551CA5" w:rsidRDefault="00551CA5" w:rsidP="00551CA5"/>
        </w:tc>
      </w:tr>
      <w:tr w:rsidR="00551CA5" w:rsidRPr="00551CA5" w:rsidTr="00551CA5">
        <w:trPr>
          <w:trHeight w:val="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51CA5" w:rsidRPr="00551CA5" w:rsidRDefault="00551CA5" w:rsidP="00551CA5"/>
        </w:tc>
        <w:tc>
          <w:tcPr>
            <w:tcW w:w="0" w:type="auto"/>
            <w:vMerge/>
            <w:tcBorders>
              <w:top w:val="single" w:sz="8" w:space="0" w:color="auto"/>
              <w:left w:val="nil"/>
              <w:bottom w:val="single" w:sz="8" w:space="0" w:color="auto"/>
              <w:right w:val="single" w:sz="8" w:space="0" w:color="auto"/>
            </w:tcBorders>
            <w:vAlign w:val="center"/>
            <w:hideMark/>
          </w:tcPr>
          <w:p w:rsidR="00551CA5" w:rsidRPr="00551CA5" w:rsidRDefault="00551CA5" w:rsidP="00551CA5"/>
        </w:tc>
        <w:tc>
          <w:tcPr>
            <w:tcW w:w="0" w:type="auto"/>
            <w:vMerge/>
            <w:tcBorders>
              <w:top w:val="single" w:sz="8" w:space="0" w:color="auto"/>
              <w:left w:val="nil"/>
              <w:bottom w:val="single" w:sz="8" w:space="0" w:color="auto"/>
              <w:right w:val="single" w:sz="8" w:space="0" w:color="auto"/>
            </w:tcBorders>
            <w:vAlign w:val="center"/>
            <w:hideMark/>
          </w:tcPr>
          <w:p w:rsidR="00551CA5" w:rsidRPr="00551CA5" w:rsidRDefault="00551CA5" w:rsidP="00551CA5"/>
        </w:tc>
        <w:tc>
          <w:tcPr>
            <w:tcW w:w="6" w:type="dxa"/>
            <w:vAlign w:val="center"/>
            <w:hideMark/>
          </w:tcPr>
          <w:p w:rsidR="00551CA5" w:rsidRPr="00551CA5" w:rsidRDefault="00551CA5" w:rsidP="00551CA5"/>
        </w:tc>
      </w:tr>
      <w:tr w:rsidR="00551CA5" w:rsidRPr="00551CA5" w:rsidTr="00551CA5">
        <w:trPr>
          <w:trHeight w:val="526"/>
        </w:trPr>
        <w:tc>
          <w:tcPr>
            <w:tcW w:w="14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t>60</w:t>
            </w:r>
            <w:r w:rsidRPr="00551CA5">
              <w:rPr>
                <w:rFonts w:hint="eastAsia"/>
              </w:rPr>
              <w:t>天</w:t>
            </w:r>
          </w:p>
        </w:tc>
        <w:tc>
          <w:tcPr>
            <w:tcW w:w="17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t>4.30%</w:t>
            </w:r>
          </w:p>
        </w:tc>
        <w:tc>
          <w:tcPr>
            <w:tcW w:w="1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CA5" w:rsidRPr="00551CA5" w:rsidRDefault="00551CA5" w:rsidP="00551CA5">
            <w:r w:rsidRPr="00551CA5">
              <w:t>4.35%</w:t>
            </w:r>
          </w:p>
        </w:tc>
        <w:tc>
          <w:tcPr>
            <w:tcW w:w="6" w:type="dxa"/>
            <w:vAlign w:val="center"/>
            <w:hideMark/>
          </w:tcPr>
          <w:p w:rsidR="00551CA5" w:rsidRPr="00551CA5" w:rsidRDefault="00551CA5" w:rsidP="00551CA5"/>
        </w:tc>
      </w:tr>
    </w:tbl>
    <w:p w:rsidR="00551CA5" w:rsidRPr="00551CA5" w:rsidRDefault="00551CA5" w:rsidP="00551CA5">
      <w:pPr>
        <w:ind w:firstLine="420"/>
        <w:rPr>
          <w:rFonts w:ascii="宋体" w:hAnsi="宋体"/>
          <w:color w:val="000000"/>
          <w:sz w:val="28"/>
          <w:szCs w:val="28"/>
        </w:rPr>
      </w:pPr>
      <w:r w:rsidRPr="00551CA5">
        <w:rPr>
          <w:rFonts w:ascii="宋体" w:hAnsi="宋体" w:hint="eastAsia"/>
          <w:color w:val="000000"/>
          <w:sz w:val="28"/>
          <w:szCs w:val="28"/>
        </w:rPr>
        <w:t>新客户预期年化收益率于</w:t>
      </w:r>
      <w:r w:rsidRPr="00551CA5">
        <w:rPr>
          <w:rFonts w:ascii="宋体" w:hAnsi="宋体"/>
          <w:color w:val="000000"/>
          <w:sz w:val="28"/>
          <w:szCs w:val="28"/>
        </w:rPr>
        <w:t>2018</w:t>
      </w:r>
      <w:r w:rsidRPr="00551CA5">
        <w:rPr>
          <w:rFonts w:ascii="宋体" w:hAnsi="宋体" w:hint="eastAsia"/>
          <w:color w:val="000000"/>
          <w:sz w:val="28"/>
          <w:szCs w:val="28"/>
        </w:rPr>
        <w:t>年</w:t>
      </w:r>
      <w:r w:rsidRPr="00551CA5">
        <w:rPr>
          <w:rFonts w:ascii="宋体" w:hAnsi="宋体"/>
          <w:color w:val="000000"/>
          <w:sz w:val="28"/>
          <w:szCs w:val="28"/>
        </w:rPr>
        <w:t>1</w:t>
      </w:r>
      <w:r w:rsidRPr="00551CA5">
        <w:rPr>
          <w:rFonts w:ascii="宋体" w:hAnsi="宋体" w:hint="eastAsia"/>
          <w:color w:val="000000"/>
          <w:sz w:val="28"/>
          <w:szCs w:val="28"/>
        </w:rPr>
        <w:t>月</w:t>
      </w:r>
      <w:r w:rsidRPr="00551CA5">
        <w:rPr>
          <w:rFonts w:ascii="宋体" w:hAnsi="宋体"/>
          <w:color w:val="000000"/>
          <w:sz w:val="28"/>
          <w:szCs w:val="28"/>
        </w:rPr>
        <w:t>22</w:t>
      </w:r>
      <w:r w:rsidRPr="00551CA5">
        <w:rPr>
          <w:rFonts w:ascii="宋体" w:hAnsi="宋体" w:hint="eastAsia"/>
          <w:color w:val="000000"/>
          <w:sz w:val="28"/>
          <w:szCs w:val="28"/>
        </w:rPr>
        <w:t>日（含）起执行。对于</w:t>
      </w:r>
      <w:r w:rsidRPr="00551CA5">
        <w:rPr>
          <w:rFonts w:ascii="宋体" w:hAnsi="宋体"/>
          <w:color w:val="000000"/>
          <w:sz w:val="28"/>
          <w:szCs w:val="28"/>
        </w:rPr>
        <w:t>2018</w:t>
      </w:r>
      <w:r w:rsidRPr="00551CA5">
        <w:rPr>
          <w:rFonts w:ascii="宋体" w:hAnsi="宋体" w:hint="eastAsia"/>
          <w:color w:val="000000"/>
          <w:sz w:val="28"/>
          <w:szCs w:val="28"/>
        </w:rPr>
        <w:t>年</w:t>
      </w:r>
      <w:r w:rsidRPr="00551CA5">
        <w:rPr>
          <w:rFonts w:ascii="宋体" w:hAnsi="宋体"/>
          <w:color w:val="000000"/>
          <w:sz w:val="28"/>
          <w:szCs w:val="28"/>
        </w:rPr>
        <w:t>1</w:t>
      </w:r>
      <w:r w:rsidRPr="00551CA5">
        <w:rPr>
          <w:rFonts w:ascii="宋体" w:hAnsi="宋体" w:hint="eastAsia"/>
          <w:color w:val="000000"/>
          <w:sz w:val="28"/>
          <w:szCs w:val="28"/>
        </w:rPr>
        <w:t>月</w:t>
      </w:r>
      <w:r w:rsidRPr="00551CA5">
        <w:rPr>
          <w:rFonts w:ascii="宋体" w:hAnsi="宋体"/>
          <w:color w:val="000000"/>
          <w:sz w:val="28"/>
          <w:szCs w:val="28"/>
        </w:rPr>
        <w:t>22</w:t>
      </w:r>
      <w:r w:rsidRPr="00551CA5">
        <w:rPr>
          <w:rFonts w:ascii="宋体" w:hAnsi="宋体" w:hint="eastAsia"/>
          <w:color w:val="000000"/>
          <w:sz w:val="28"/>
          <w:szCs w:val="28"/>
        </w:rPr>
        <w:t>日（不含）前已经购买成功且未赎回的存量投资本金，其中封闭期内的份额仍按照购买确认日当日的客户预期年化收益率计算投资收益，非封闭期内的份额从</w:t>
      </w:r>
      <w:r w:rsidRPr="00551CA5">
        <w:rPr>
          <w:rFonts w:ascii="宋体" w:hAnsi="宋体"/>
          <w:color w:val="000000"/>
          <w:sz w:val="28"/>
          <w:szCs w:val="28"/>
        </w:rPr>
        <w:t>2018</w:t>
      </w:r>
      <w:r w:rsidRPr="00551CA5">
        <w:rPr>
          <w:rFonts w:ascii="宋体" w:hAnsi="宋体" w:hint="eastAsia"/>
          <w:color w:val="000000"/>
          <w:sz w:val="28"/>
          <w:szCs w:val="28"/>
        </w:rPr>
        <w:t>年</w:t>
      </w:r>
      <w:r w:rsidRPr="00551CA5">
        <w:rPr>
          <w:rFonts w:ascii="宋体" w:hAnsi="宋体"/>
          <w:color w:val="000000"/>
          <w:sz w:val="28"/>
          <w:szCs w:val="28"/>
        </w:rPr>
        <w:t>1</w:t>
      </w:r>
      <w:r w:rsidRPr="00551CA5">
        <w:rPr>
          <w:rFonts w:ascii="宋体" w:hAnsi="宋体" w:hint="eastAsia"/>
          <w:color w:val="000000"/>
          <w:sz w:val="28"/>
          <w:szCs w:val="28"/>
        </w:rPr>
        <w:t>月</w:t>
      </w:r>
      <w:r w:rsidRPr="00551CA5">
        <w:rPr>
          <w:rFonts w:ascii="宋体" w:hAnsi="宋体"/>
          <w:color w:val="000000"/>
          <w:sz w:val="28"/>
          <w:szCs w:val="28"/>
        </w:rPr>
        <w:t>22</w:t>
      </w:r>
      <w:r w:rsidRPr="00551CA5">
        <w:rPr>
          <w:rFonts w:ascii="宋体" w:hAnsi="宋体" w:hint="eastAsia"/>
          <w:color w:val="000000"/>
          <w:sz w:val="28"/>
          <w:szCs w:val="28"/>
        </w:rPr>
        <w:t>日（含）起按调整后的预期年化收益率计算投资收益。</w:t>
      </w:r>
      <w:r w:rsidRPr="00551CA5">
        <w:rPr>
          <w:rFonts w:ascii="宋体" w:hAnsi="宋体"/>
          <w:color w:val="000000"/>
          <w:sz w:val="28"/>
          <w:szCs w:val="28"/>
        </w:rPr>
        <w:t>2018</w:t>
      </w:r>
      <w:r w:rsidRPr="00551CA5">
        <w:rPr>
          <w:rFonts w:ascii="宋体" w:hAnsi="宋体" w:hint="eastAsia"/>
          <w:color w:val="000000"/>
          <w:sz w:val="28"/>
          <w:szCs w:val="28"/>
        </w:rPr>
        <w:t>年</w:t>
      </w:r>
      <w:r w:rsidRPr="00551CA5">
        <w:rPr>
          <w:rFonts w:ascii="宋体" w:hAnsi="宋体"/>
          <w:color w:val="000000"/>
          <w:sz w:val="28"/>
          <w:szCs w:val="28"/>
        </w:rPr>
        <w:t>1</w:t>
      </w:r>
      <w:r w:rsidRPr="00551CA5">
        <w:rPr>
          <w:rFonts w:ascii="宋体" w:hAnsi="宋体" w:hint="eastAsia"/>
          <w:color w:val="000000"/>
          <w:sz w:val="28"/>
          <w:szCs w:val="28"/>
        </w:rPr>
        <w:t>月</w:t>
      </w:r>
      <w:r w:rsidRPr="00551CA5">
        <w:rPr>
          <w:rFonts w:ascii="宋体" w:hAnsi="宋体"/>
          <w:color w:val="000000"/>
          <w:sz w:val="28"/>
          <w:szCs w:val="28"/>
        </w:rPr>
        <w:t>22</w:t>
      </w:r>
      <w:r w:rsidRPr="00551CA5">
        <w:rPr>
          <w:rFonts w:ascii="宋体" w:hAnsi="宋体" w:hint="eastAsia"/>
          <w:color w:val="000000"/>
          <w:sz w:val="28"/>
          <w:szCs w:val="28"/>
        </w:rPr>
        <w:t>日（含）后购买的部分自动执行调整后的客户预期年化收益率。但前述情形下的最终投资收益均以我行最终支付的实际年化收益率为准。</w:t>
      </w:r>
    </w:p>
    <w:p w:rsidR="00671916" w:rsidRPr="00EE774A" w:rsidRDefault="00671916" w:rsidP="00671916">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（一）投资组合的基本情况</w:t>
      </w:r>
    </w:p>
    <w:p w:rsidR="00671916" w:rsidRPr="00EE774A" w:rsidRDefault="000A41BE" w:rsidP="00671916">
      <w:pPr>
        <w:jc w:val="center"/>
        <w:rPr>
          <w:rFonts w:ascii="宋体" w:hAnsi="宋体"/>
          <w:color w:val="000000"/>
          <w:sz w:val="28"/>
          <w:szCs w:val="28"/>
        </w:rPr>
      </w:pPr>
      <w:r>
        <w:rPr>
          <w:noProof/>
        </w:rPr>
        <w:drawing>
          <wp:inline distT="0" distB="0" distL="0" distR="0" wp14:anchorId="0E2636B0" wp14:editId="64859892">
            <wp:extent cx="4010025" cy="1581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71916" w:rsidRPr="00EE774A" w:rsidRDefault="00671916" w:rsidP="00671916">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671916" w:rsidRPr="00EE774A" w:rsidRDefault="000A41BE" w:rsidP="00671916">
      <w:pPr>
        <w:jc w:val="center"/>
        <w:rPr>
          <w:rFonts w:ascii="宋体" w:hAnsi="宋体"/>
          <w:color w:val="000000"/>
          <w:sz w:val="28"/>
          <w:szCs w:val="28"/>
        </w:rPr>
      </w:pPr>
      <w:r>
        <w:rPr>
          <w:noProof/>
        </w:rPr>
        <w:drawing>
          <wp:inline distT="0" distB="0" distL="0" distR="0" wp14:anchorId="17E01CC3" wp14:editId="4CF48AF5">
            <wp:extent cx="4400550" cy="210502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1916" w:rsidRPr="00EE774A" w:rsidRDefault="00671916" w:rsidP="00671916">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FF2407">
        <w:rPr>
          <w:rFonts w:ascii="宋体" w:hAnsi="宋体" w:hint="eastAsia"/>
          <w:b/>
          <w:color w:val="000000"/>
          <w:sz w:val="28"/>
          <w:szCs w:val="28"/>
        </w:rPr>
        <w:t>融资类资产的行业占比构成及当月增减变化情况</w:t>
      </w:r>
    </w:p>
    <w:p w:rsidR="00671916" w:rsidRPr="005622F6" w:rsidRDefault="000A41BE" w:rsidP="00671916">
      <w:pPr>
        <w:ind w:right="-58"/>
        <w:jc w:val="center"/>
        <w:rPr>
          <w:rFonts w:ascii="宋体" w:hAnsi="宋体"/>
          <w:color w:val="000000"/>
          <w:sz w:val="28"/>
          <w:szCs w:val="28"/>
        </w:rPr>
      </w:pPr>
      <w:r>
        <w:rPr>
          <w:noProof/>
        </w:rPr>
        <w:drawing>
          <wp:inline distT="0" distB="0" distL="0" distR="0" wp14:anchorId="6A42DA4A" wp14:editId="4BA56C19">
            <wp:extent cx="5274310" cy="2092631"/>
            <wp:effectExtent l="0" t="0" r="21590"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1916" w:rsidRPr="00EE774A" w:rsidRDefault="00671916" w:rsidP="00671916">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671916" w:rsidRPr="00EE774A" w:rsidRDefault="00671916" w:rsidP="00671916">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lastRenderedPageBreak/>
        <w:t>（3）本产品自成立至本报告日，没有发生涉诉及诉讼等损害投资者利益的情形。</w:t>
      </w:r>
    </w:p>
    <w:p w:rsidR="00671916" w:rsidRPr="00EE774A" w:rsidRDefault="00671916" w:rsidP="00671916">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671916" w:rsidRPr="00371CB6" w:rsidRDefault="00671916" w:rsidP="005B350C">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1C5F6A">
        <w:rPr>
          <w:rFonts w:ascii="宋体" w:hAnsi="宋体" w:hint="eastAsia"/>
          <w:color w:val="000000"/>
          <w:sz w:val="28"/>
          <w:szCs w:val="28"/>
        </w:rPr>
        <w:t>8</w:t>
      </w:r>
      <w:r>
        <w:rPr>
          <w:rFonts w:ascii="宋体" w:hAnsi="宋体" w:hint="eastAsia"/>
          <w:color w:val="000000"/>
          <w:sz w:val="28"/>
          <w:szCs w:val="28"/>
        </w:rPr>
        <w:t>年</w:t>
      </w:r>
      <w:r w:rsidR="00546090">
        <w:rPr>
          <w:rFonts w:ascii="宋体" w:hAnsi="宋体" w:hint="eastAsia"/>
          <w:color w:val="000000"/>
          <w:sz w:val="28"/>
          <w:szCs w:val="28"/>
        </w:rPr>
        <w:t>2</w:t>
      </w:r>
      <w:r>
        <w:rPr>
          <w:rFonts w:ascii="宋体" w:hAnsi="宋体" w:hint="eastAsia"/>
          <w:color w:val="000000"/>
          <w:sz w:val="28"/>
          <w:szCs w:val="28"/>
        </w:rPr>
        <w:t>月</w:t>
      </w:r>
      <w:r w:rsidR="00A27002">
        <w:rPr>
          <w:rFonts w:ascii="宋体" w:hAnsi="宋体" w:hint="eastAsia"/>
          <w:color w:val="000000"/>
          <w:sz w:val="28"/>
          <w:szCs w:val="28"/>
        </w:rPr>
        <w:t>6</w:t>
      </w:r>
      <w:r>
        <w:rPr>
          <w:rFonts w:ascii="宋体" w:hAnsi="宋体" w:hint="eastAsia"/>
          <w:color w:val="000000"/>
          <w:sz w:val="28"/>
          <w:szCs w:val="28"/>
        </w:rPr>
        <w:t>日</w:t>
      </w:r>
    </w:p>
    <w:sectPr w:rsidR="00671916" w:rsidRPr="00371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5F" w:rsidRDefault="000F375F" w:rsidP="00671916">
      <w:r>
        <w:separator/>
      </w:r>
    </w:p>
  </w:endnote>
  <w:endnote w:type="continuationSeparator" w:id="0">
    <w:p w:rsidR="000F375F" w:rsidRDefault="000F375F" w:rsidP="0067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5F" w:rsidRDefault="000F375F" w:rsidP="00671916">
      <w:r>
        <w:separator/>
      </w:r>
    </w:p>
  </w:footnote>
  <w:footnote w:type="continuationSeparator" w:id="0">
    <w:p w:rsidR="000F375F" w:rsidRDefault="000F375F" w:rsidP="0067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6D"/>
    <w:rsid w:val="0005175F"/>
    <w:rsid w:val="000A41BE"/>
    <w:rsid w:val="000F375F"/>
    <w:rsid w:val="00110ECD"/>
    <w:rsid w:val="00153C80"/>
    <w:rsid w:val="001C5F6A"/>
    <w:rsid w:val="002C4585"/>
    <w:rsid w:val="00380EEE"/>
    <w:rsid w:val="003A26DD"/>
    <w:rsid w:val="00546090"/>
    <w:rsid w:val="00551CA5"/>
    <w:rsid w:val="005B350C"/>
    <w:rsid w:val="005D0FC1"/>
    <w:rsid w:val="00671916"/>
    <w:rsid w:val="007E37E9"/>
    <w:rsid w:val="008E6052"/>
    <w:rsid w:val="00A27002"/>
    <w:rsid w:val="00A66F45"/>
    <w:rsid w:val="00AB78F9"/>
    <w:rsid w:val="00B549E1"/>
    <w:rsid w:val="00CD372C"/>
    <w:rsid w:val="00D21376"/>
    <w:rsid w:val="00DE65FF"/>
    <w:rsid w:val="00E1168D"/>
    <w:rsid w:val="00E1666D"/>
    <w:rsid w:val="00FA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916"/>
    <w:rPr>
      <w:sz w:val="18"/>
      <w:szCs w:val="18"/>
    </w:rPr>
  </w:style>
  <w:style w:type="paragraph" w:styleId="a4">
    <w:name w:val="footer"/>
    <w:basedOn w:val="a"/>
    <w:link w:val="Char0"/>
    <w:uiPriority w:val="99"/>
    <w:unhideWhenUsed/>
    <w:rsid w:val="0067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916"/>
    <w:rPr>
      <w:sz w:val="18"/>
      <w:szCs w:val="18"/>
    </w:rPr>
  </w:style>
  <w:style w:type="paragraph" w:styleId="a5">
    <w:name w:val="Balloon Text"/>
    <w:basedOn w:val="a"/>
    <w:link w:val="Char1"/>
    <w:uiPriority w:val="99"/>
    <w:semiHidden/>
    <w:unhideWhenUsed/>
    <w:rsid w:val="00671916"/>
    <w:rPr>
      <w:sz w:val="18"/>
      <w:szCs w:val="18"/>
    </w:rPr>
  </w:style>
  <w:style w:type="character" w:customStyle="1" w:styleId="Char1">
    <w:name w:val="批注框文本 Char"/>
    <w:basedOn w:val="a0"/>
    <w:link w:val="a5"/>
    <w:uiPriority w:val="99"/>
    <w:semiHidden/>
    <w:rsid w:val="00671916"/>
    <w:rPr>
      <w:rFonts w:ascii="Calibri" w:eastAsia="宋体" w:hAnsi="Calibri" w:cs="Times New Roman"/>
      <w:sz w:val="18"/>
      <w:szCs w:val="18"/>
    </w:rPr>
  </w:style>
  <w:style w:type="paragraph" w:styleId="a6">
    <w:name w:val="Normal (Web)"/>
    <w:basedOn w:val="a"/>
    <w:uiPriority w:val="99"/>
    <w:unhideWhenUsed/>
    <w:rsid w:val="00551CA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551C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916"/>
    <w:rPr>
      <w:sz w:val="18"/>
      <w:szCs w:val="18"/>
    </w:rPr>
  </w:style>
  <w:style w:type="paragraph" w:styleId="a4">
    <w:name w:val="footer"/>
    <w:basedOn w:val="a"/>
    <w:link w:val="Char0"/>
    <w:uiPriority w:val="99"/>
    <w:unhideWhenUsed/>
    <w:rsid w:val="0067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916"/>
    <w:rPr>
      <w:sz w:val="18"/>
      <w:szCs w:val="18"/>
    </w:rPr>
  </w:style>
  <w:style w:type="paragraph" w:styleId="a5">
    <w:name w:val="Balloon Text"/>
    <w:basedOn w:val="a"/>
    <w:link w:val="Char1"/>
    <w:uiPriority w:val="99"/>
    <w:semiHidden/>
    <w:unhideWhenUsed/>
    <w:rsid w:val="00671916"/>
    <w:rPr>
      <w:sz w:val="18"/>
      <w:szCs w:val="18"/>
    </w:rPr>
  </w:style>
  <w:style w:type="character" w:customStyle="1" w:styleId="Char1">
    <w:name w:val="批注框文本 Char"/>
    <w:basedOn w:val="a0"/>
    <w:link w:val="a5"/>
    <w:uiPriority w:val="99"/>
    <w:semiHidden/>
    <w:rsid w:val="00671916"/>
    <w:rPr>
      <w:rFonts w:ascii="Calibri" w:eastAsia="宋体" w:hAnsi="Calibri" w:cs="Times New Roman"/>
      <w:sz w:val="18"/>
      <w:szCs w:val="18"/>
    </w:rPr>
  </w:style>
  <w:style w:type="paragraph" w:styleId="a6">
    <w:name w:val="Normal (Web)"/>
    <w:basedOn w:val="a"/>
    <w:uiPriority w:val="99"/>
    <w:unhideWhenUsed/>
    <w:rsid w:val="00551CA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551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0438">
      <w:bodyDiv w:val="1"/>
      <w:marLeft w:val="0"/>
      <w:marRight w:val="0"/>
      <w:marTop w:val="0"/>
      <w:marBottom w:val="0"/>
      <w:divBdr>
        <w:top w:val="none" w:sz="0" w:space="0" w:color="auto"/>
        <w:left w:val="none" w:sz="0" w:space="0" w:color="auto"/>
        <w:bottom w:val="none" w:sz="0" w:space="0" w:color="auto"/>
        <w:right w:val="none" w:sz="0" w:space="0" w:color="auto"/>
      </w:divBdr>
    </w:div>
    <w:div w:id="291716756">
      <w:bodyDiv w:val="1"/>
      <w:marLeft w:val="0"/>
      <w:marRight w:val="0"/>
      <w:marTop w:val="0"/>
      <w:marBottom w:val="0"/>
      <w:divBdr>
        <w:top w:val="none" w:sz="0" w:space="0" w:color="auto"/>
        <w:left w:val="none" w:sz="0" w:space="0" w:color="auto"/>
        <w:bottom w:val="none" w:sz="0" w:space="0" w:color="auto"/>
        <w:right w:val="none" w:sz="0" w:space="0" w:color="auto"/>
      </w:divBdr>
    </w:div>
    <w:div w:id="383409114">
      <w:bodyDiv w:val="1"/>
      <w:marLeft w:val="0"/>
      <w:marRight w:val="0"/>
      <w:marTop w:val="0"/>
      <w:marBottom w:val="0"/>
      <w:divBdr>
        <w:top w:val="none" w:sz="0" w:space="0" w:color="auto"/>
        <w:left w:val="none" w:sz="0" w:space="0" w:color="auto"/>
        <w:bottom w:val="none" w:sz="0" w:space="0" w:color="auto"/>
        <w:right w:val="none" w:sz="0" w:space="0" w:color="auto"/>
      </w:divBdr>
      <w:divsChild>
        <w:div w:id="1818183055">
          <w:marLeft w:val="0"/>
          <w:marRight w:val="0"/>
          <w:marTop w:val="600"/>
          <w:marBottom w:val="900"/>
          <w:divBdr>
            <w:top w:val="none" w:sz="0" w:space="0" w:color="auto"/>
            <w:left w:val="none" w:sz="0" w:space="0" w:color="auto"/>
            <w:bottom w:val="none" w:sz="0" w:space="0" w:color="auto"/>
            <w:right w:val="none" w:sz="0" w:space="0" w:color="auto"/>
          </w:divBdr>
          <w:divsChild>
            <w:div w:id="1232428041">
              <w:marLeft w:val="0"/>
              <w:marRight w:val="0"/>
              <w:marTop w:val="0"/>
              <w:marBottom w:val="0"/>
              <w:divBdr>
                <w:top w:val="none" w:sz="0" w:space="0" w:color="auto"/>
                <w:left w:val="none" w:sz="0" w:space="0" w:color="auto"/>
                <w:bottom w:val="none" w:sz="0" w:space="0" w:color="auto"/>
                <w:right w:val="single" w:sz="6" w:space="30" w:color="EEEEEE"/>
              </w:divBdr>
              <w:divsChild>
                <w:div w:id="21260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8307">
      <w:bodyDiv w:val="1"/>
      <w:marLeft w:val="0"/>
      <w:marRight w:val="0"/>
      <w:marTop w:val="0"/>
      <w:marBottom w:val="0"/>
      <w:divBdr>
        <w:top w:val="none" w:sz="0" w:space="0" w:color="auto"/>
        <w:left w:val="none" w:sz="0" w:space="0" w:color="auto"/>
        <w:bottom w:val="none" w:sz="0" w:space="0" w:color="auto"/>
        <w:right w:val="none" w:sz="0" w:space="0" w:color="auto"/>
      </w:divBdr>
    </w:div>
    <w:div w:id="13218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Lbls>
            <c:showLegendKey val="0"/>
            <c:showVal val="1"/>
            <c:showCatName val="0"/>
            <c:showSerName val="0"/>
            <c:showPercent val="0"/>
            <c:showBubbleSize val="0"/>
            <c:showLeaderLines val="1"/>
          </c:dLbls>
          <c:cat>
            <c:strRef>
              <c:f>'2018年1月'!$A$141:$A$143</c:f>
              <c:strCache>
                <c:ptCount val="3"/>
                <c:pt idx="0">
                  <c:v>现金及债券类</c:v>
                </c:pt>
                <c:pt idx="1">
                  <c:v>融资类</c:v>
                </c:pt>
                <c:pt idx="2">
                  <c:v>其他</c:v>
                </c:pt>
              </c:strCache>
            </c:strRef>
          </c:cat>
          <c:val>
            <c:numRef>
              <c:f>'2018年1月'!$B$141:$B$143</c:f>
              <c:numCache>
                <c:formatCode>0.00%</c:formatCode>
                <c:ptCount val="3"/>
                <c:pt idx="0">
                  <c:v>2.2825826911792961E-2</c:v>
                </c:pt>
                <c:pt idx="1">
                  <c:v>0.6382691600870376</c:v>
                </c:pt>
                <c:pt idx="2">
                  <c:v>0.33890501300017561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'2018年1月'!$A$151:$A$153</c:f>
              <c:strCache>
                <c:ptCount val="3"/>
                <c:pt idx="0">
                  <c:v>A+</c:v>
                </c:pt>
                <c:pt idx="1">
                  <c:v>AA</c:v>
                </c:pt>
                <c:pt idx="2">
                  <c:v>AA-</c:v>
                </c:pt>
              </c:strCache>
            </c:strRef>
          </c:cat>
          <c:val>
            <c:numRef>
              <c:f>'2018年1月'!$B$151:$B$153</c:f>
              <c:numCache>
                <c:formatCode>0.00%</c:formatCode>
                <c:ptCount val="3"/>
                <c:pt idx="0">
                  <c:v>0.2746422784323419</c:v>
                </c:pt>
                <c:pt idx="1">
                  <c:v>0.52395338405060743</c:v>
                </c:pt>
                <c:pt idx="2">
                  <c:v>0.2014043375170507</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81352217336469301"/>
          <c:y val="0.30618781249628862"/>
          <c:w val="9.9897740055220369E-2"/>
          <c:h val="0.3272925499697153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'2018年1月'!$B$158</c:f>
              <c:strCache>
                <c:ptCount val="1"/>
                <c:pt idx="0">
                  <c:v>1月各行业</c:v>
                </c:pt>
              </c:strCache>
            </c:strRef>
          </c:tx>
          <c:invertIfNegative val="0"/>
          <c:cat>
            <c:strRef>
              <c:f>'2018年1月'!$A$159:$A$162</c:f>
              <c:strCache>
                <c:ptCount val="4"/>
                <c:pt idx="0">
                  <c:v>电力、热力、燃气及水生产和供应业</c:v>
                </c:pt>
                <c:pt idx="1">
                  <c:v>水利、环境和公共设施管理业</c:v>
                </c:pt>
                <c:pt idx="2">
                  <c:v>租赁和商务服务业</c:v>
                </c:pt>
                <c:pt idx="3">
                  <c:v>批发和零售业</c:v>
                </c:pt>
              </c:strCache>
            </c:strRef>
          </c:cat>
          <c:val>
            <c:numRef>
              <c:f>'2018年1月'!$B$159:$B$161</c:f>
              <c:numCache>
                <c:formatCode>0.00%</c:formatCode>
                <c:ptCount val="3"/>
                <c:pt idx="0">
                  <c:v>0.18309485228822792</c:v>
                </c:pt>
                <c:pt idx="1">
                  <c:v>0.29295176366116465</c:v>
                </c:pt>
                <c:pt idx="2">
                  <c:v>0.52395338405060743</c:v>
                </c:pt>
              </c:numCache>
            </c:numRef>
          </c:val>
        </c:ser>
        <c:ser>
          <c:idx val="1"/>
          <c:order val="1"/>
          <c:tx>
            <c:strRef>
              <c:f>'2018年1月'!$C$158</c:f>
              <c:strCache>
                <c:ptCount val="1"/>
                <c:pt idx="0">
                  <c:v>12月各行业</c:v>
                </c:pt>
              </c:strCache>
            </c:strRef>
          </c:tx>
          <c:invertIfNegative val="0"/>
          <c:cat>
            <c:strRef>
              <c:f>'2018年1月'!$A$159:$A$162</c:f>
              <c:strCache>
                <c:ptCount val="4"/>
                <c:pt idx="0">
                  <c:v>电力、热力、燃气及水生产和供应业</c:v>
                </c:pt>
                <c:pt idx="1">
                  <c:v>水利、环境和公共设施管理业</c:v>
                </c:pt>
                <c:pt idx="2">
                  <c:v>租赁和商务服务业</c:v>
                </c:pt>
                <c:pt idx="3">
                  <c:v>批发和零售业</c:v>
                </c:pt>
              </c:strCache>
            </c:strRef>
          </c:cat>
          <c:val>
            <c:numRef>
              <c:f>'2018年1月'!$C$159:$C$162</c:f>
              <c:numCache>
                <c:formatCode>0.00%</c:formatCode>
                <c:ptCount val="4"/>
                <c:pt idx="0">
                  <c:v>0</c:v>
                </c:pt>
                <c:pt idx="1">
                  <c:v>0</c:v>
                </c:pt>
                <c:pt idx="2">
                  <c:v>0.85177302269012956</c:v>
                </c:pt>
                <c:pt idx="3">
                  <c:v>0.14822697730987039</c:v>
                </c:pt>
              </c:numCache>
            </c:numRef>
          </c:val>
        </c:ser>
        <c:ser>
          <c:idx val="2"/>
          <c:order val="2"/>
          <c:tx>
            <c:strRef>
              <c:f>'2018年1月'!$D$158</c:f>
              <c:strCache>
                <c:ptCount val="1"/>
                <c:pt idx="0">
                  <c:v>行业变化</c:v>
                </c:pt>
              </c:strCache>
            </c:strRef>
          </c:tx>
          <c:invertIfNegative val="0"/>
          <c:cat>
            <c:strRef>
              <c:f>'2018年1月'!$A$159:$A$162</c:f>
              <c:strCache>
                <c:ptCount val="4"/>
                <c:pt idx="0">
                  <c:v>电力、热力、燃气及水生产和供应业</c:v>
                </c:pt>
                <c:pt idx="1">
                  <c:v>水利、环境和公共设施管理业</c:v>
                </c:pt>
                <c:pt idx="2">
                  <c:v>租赁和商务服务业</c:v>
                </c:pt>
                <c:pt idx="3">
                  <c:v>批发和零售业</c:v>
                </c:pt>
              </c:strCache>
            </c:strRef>
          </c:cat>
          <c:val>
            <c:numRef>
              <c:f>'2018年1月'!$D$159:$D$162</c:f>
              <c:numCache>
                <c:formatCode>0.00%</c:formatCode>
                <c:ptCount val="4"/>
                <c:pt idx="0">
                  <c:v>0.18309485228822792</c:v>
                </c:pt>
                <c:pt idx="1">
                  <c:v>0.29295176366116465</c:v>
                </c:pt>
                <c:pt idx="2">
                  <c:v>-0.32781963863952213</c:v>
                </c:pt>
                <c:pt idx="3">
                  <c:v>-0.14822697730987039</c:v>
                </c:pt>
              </c:numCache>
            </c:numRef>
          </c:val>
        </c:ser>
        <c:dLbls>
          <c:showLegendKey val="0"/>
          <c:showVal val="0"/>
          <c:showCatName val="0"/>
          <c:showSerName val="0"/>
          <c:showPercent val="0"/>
          <c:showBubbleSize val="0"/>
        </c:dLbls>
        <c:gapWidth val="150"/>
        <c:axId val="116475776"/>
        <c:axId val="116477312"/>
      </c:barChart>
      <c:catAx>
        <c:axId val="116475776"/>
        <c:scaling>
          <c:orientation val="minMax"/>
        </c:scaling>
        <c:delete val="0"/>
        <c:axPos val="l"/>
        <c:numFmt formatCode="General" sourceLinked="1"/>
        <c:majorTickMark val="out"/>
        <c:minorTickMark val="none"/>
        <c:tickLblPos val="nextTo"/>
        <c:crossAx val="116477312"/>
        <c:crosses val="autoZero"/>
        <c:auto val="1"/>
        <c:lblAlgn val="ctr"/>
        <c:lblOffset val="100"/>
        <c:noMultiLvlLbl val="0"/>
      </c:catAx>
      <c:valAx>
        <c:axId val="116477312"/>
        <c:scaling>
          <c:orientation val="minMax"/>
        </c:scaling>
        <c:delete val="0"/>
        <c:axPos val="b"/>
        <c:majorGridlines/>
        <c:numFmt formatCode="0%" sourceLinked="0"/>
        <c:majorTickMark val="out"/>
        <c:minorTickMark val="none"/>
        <c:tickLblPos val="nextTo"/>
        <c:crossAx val="116475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7</cp:revision>
  <dcterms:created xsi:type="dcterms:W3CDTF">2018-02-02T14:05:00Z</dcterms:created>
  <dcterms:modified xsi:type="dcterms:W3CDTF">2018-02-06T02:42:00Z</dcterms:modified>
</cp:coreProperties>
</file>