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283" w:rsidRPr="00EE774A" w:rsidRDefault="000F69A4" w:rsidP="000F69A4">
      <w:pPr>
        <w:rPr>
          <w:b/>
          <w:color w:val="000000"/>
          <w:sz w:val="32"/>
          <w:szCs w:val="32"/>
        </w:rPr>
      </w:pPr>
      <w:bookmarkStart w:id="0" w:name="_GoBack"/>
      <w:bookmarkEnd w:id="0"/>
      <w:r w:rsidRPr="00EE774A">
        <w:rPr>
          <w:rFonts w:hint="eastAsia"/>
          <w:b/>
          <w:color w:val="000000"/>
          <w:sz w:val="32"/>
          <w:szCs w:val="32"/>
        </w:rPr>
        <w:t xml:space="preserve"> </w:t>
      </w:r>
      <w:r w:rsidR="000B1283" w:rsidRPr="00EE774A">
        <w:rPr>
          <w:rFonts w:hint="eastAsia"/>
          <w:b/>
          <w:color w:val="000000"/>
          <w:sz w:val="32"/>
          <w:szCs w:val="32"/>
        </w:rPr>
        <w:t>“乾元—</w:t>
      </w:r>
      <w:r w:rsidR="000B1283">
        <w:rPr>
          <w:rFonts w:hint="eastAsia"/>
          <w:b/>
          <w:color w:val="000000"/>
          <w:sz w:val="32"/>
          <w:szCs w:val="32"/>
        </w:rPr>
        <w:t>满溢</w:t>
      </w:r>
      <w:r w:rsidR="000B1283" w:rsidRPr="00EE774A">
        <w:rPr>
          <w:rFonts w:hint="eastAsia"/>
          <w:b/>
          <w:color w:val="000000"/>
          <w:sz w:val="32"/>
          <w:szCs w:val="32"/>
        </w:rPr>
        <w:t>”</w:t>
      </w:r>
      <w:r w:rsidR="000B1283" w:rsidRPr="002E4F4A">
        <w:rPr>
          <w:rFonts w:hint="eastAsia"/>
          <w:b/>
          <w:color w:val="000000"/>
          <w:sz w:val="32"/>
          <w:szCs w:val="32"/>
        </w:rPr>
        <w:t xml:space="preserve"> 120</w:t>
      </w:r>
      <w:r w:rsidR="000B1283" w:rsidRPr="002E4F4A">
        <w:rPr>
          <w:rFonts w:hint="eastAsia"/>
          <w:b/>
          <w:color w:val="000000"/>
          <w:sz w:val="32"/>
          <w:szCs w:val="32"/>
        </w:rPr>
        <w:t>天开放式资产组合型人民币理财产品（机构版）</w:t>
      </w:r>
      <w:r w:rsidR="000B1283" w:rsidRPr="00EE774A">
        <w:rPr>
          <w:rFonts w:hint="eastAsia"/>
          <w:b/>
          <w:color w:val="000000"/>
          <w:sz w:val="32"/>
          <w:szCs w:val="32"/>
        </w:rPr>
        <w:t>月度投资管理报告</w:t>
      </w:r>
    </w:p>
    <w:p w:rsidR="000B1283" w:rsidRPr="00EE774A" w:rsidRDefault="000B1283" w:rsidP="000B1283">
      <w:pPr>
        <w:spacing w:line="480" w:lineRule="exact"/>
        <w:ind w:firstLineChars="200" w:firstLine="420"/>
        <w:jc w:val="center"/>
        <w:rPr>
          <w:rFonts w:ascii="宋体" w:hAnsi="宋体"/>
          <w:color w:val="000000"/>
          <w:szCs w:val="21"/>
        </w:rPr>
      </w:pPr>
      <w:r w:rsidRPr="00EE774A">
        <w:rPr>
          <w:rFonts w:ascii="宋体" w:hAnsi="宋体" w:hint="eastAsia"/>
          <w:color w:val="000000"/>
          <w:szCs w:val="21"/>
        </w:rPr>
        <w:t>报告日：201</w:t>
      </w:r>
      <w:r w:rsidR="00C75735">
        <w:rPr>
          <w:rFonts w:ascii="宋体" w:hAnsi="宋体" w:hint="eastAsia"/>
          <w:color w:val="000000"/>
          <w:szCs w:val="21"/>
        </w:rPr>
        <w:t>8</w:t>
      </w:r>
      <w:r w:rsidRPr="00EE774A">
        <w:rPr>
          <w:rFonts w:ascii="宋体" w:hAnsi="宋体" w:hint="eastAsia"/>
          <w:color w:val="000000"/>
          <w:szCs w:val="21"/>
        </w:rPr>
        <w:t>年</w:t>
      </w:r>
      <w:r w:rsidR="00315C8E">
        <w:rPr>
          <w:rFonts w:ascii="宋体" w:hAnsi="宋体" w:hint="eastAsia"/>
          <w:color w:val="000000"/>
          <w:szCs w:val="21"/>
        </w:rPr>
        <w:t>1</w:t>
      </w:r>
      <w:r>
        <w:rPr>
          <w:rFonts w:ascii="宋体" w:hAnsi="宋体" w:hint="eastAsia"/>
          <w:color w:val="000000"/>
          <w:szCs w:val="21"/>
        </w:rPr>
        <w:t>月</w:t>
      </w:r>
      <w:r w:rsidR="00315C8E">
        <w:rPr>
          <w:rFonts w:ascii="宋体" w:hAnsi="宋体" w:hint="eastAsia"/>
          <w:color w:val="000000"/>
          <w:szCs w:val="21"/>
        </w:rPr>
        <w:t>3</w:t>
      </w:r>
      <w:r w:rsidR="00C75735">
        <w:rPr>
          <w:rFonts w:ascii="宋体" w:hAnsi="宋体" w:hint="eastAsia"/>
          <w:color w:val="000000"/>
          <w:szCs w:val="21"/>
        </w:rPr>
        <w:t>1</w:t>
      </w:r>
      <w:r>
        <w:rPr>
          <w:rFonts w:ascii="宋体" w:hAnsi="宋体" w:hint="eastAsia"/>
          <w:color w:val="000000"/>
          <w:szCs w:val="21"/>
        </w:rPr>
        <w:t xml:space="preserve">日    </w:t>
      </w:r>
    </w:p>
    <w:p w:rsidR="000B1283" w:rsidRPr="00315C8E" w:rsidRDefault="000B1283" w:rsidP="00C75735">
      <w:pPr>
        <w:ind w:firstLine="420"/>
        <w:rPr>
          <w:rFonts w:ascii="宋体" w:hAnsi="宋体"/>
          <w:color w:val="000000"/>
          <w:sz w:val="28"/>
          <w:szCs w:val="28"/>
        </w:rPr>
      </w:pPr>
      <w:r w:rsidRPr="00EA49BE">
        <w:rPr>
          <w:rFonts w:ascii="宋体" w:hAnsi="宋体" w:hint="eastAsia"/>
          <w:color w:val="000000"/>
          <w:sz w:val="28"/>
          <w:szCs w:val="28"/>
        </w:rPr>
        <w:t>“乾元—满溢” 120天开放式资产组合型人民币理财产品（机构版）</w:t>
      </w:r>
      <w:r w:rsidRPr="00EE774A">
        <w:rPr>
          <w:rFonts w:ascii="宋体" w:hAnsi="宋体" w:hint="eastAsia"/>
          <w:color w:val="000000"/>
          <w:sz w:val="28"/>
          <w:szCs w:val="28"/>
        </w:rPr>
        <w:t>于201</w:t>
      </w:r>
      <w:r>
        <w:rPr>
          <w:rFonts w:ascii="宋体" w:hAnsi="宋体" w:hint="eastAsia"/>
          <w:color w:val="000000"/>
          <w:sz w:val="28"/>
          <w:szCs w:val="28"/>
        </w:rPr>
        <w:t>6</w:t>
      </w:r>
      <w:r w:rsidRPr="00EE774A">
        <w:rPr>
          <w:rFonts w:ascii="宋体" w:hAnsi="宋体" w:hint="eastAsia"/>
          <w:color w:val="000000"/>
          <w:sz w:val="28"/>
          <w:szCs w:val="28"/>
        </w:rPr>
        <w:t>年</w:t>
      </w:r>
      <w:r>
        <w:rPr>
          <w:rFonts w:ascii="宋体" w:hAnsi="宋体" w:hint="eastAsia"/>
          <w:color w:val="000000"/>
          <w:sz w:val="28"/>
          <w:szCs w:val="28"/>
        </w:rPr>
        <w:t>5</w:t>
      </w:r>
      <w:r w:rsidRPr="00EE774A">
        <w:rPr>
          <w:rFonts w:ascii="宋体" w:hAnsi="宋体" w:hint="eastAsia"/>
          <w:color w:val="000000"/>
          <w:sz w:val="28"/>
          <w:szCs w:val="28"/>
        </w:rPr>
        <w:t>月</w:t>
      </w:r>
      <w:r>
        <w:rPr>
          <w:rFonts w:ascii="宋体" w:hAnsi="宋体" w:hint="eastAsia"/>
          <w:color w:val="000000"/>
          <w:sz w:val="28"/>
          <w:szCs w:val="28"/>
        </w:rPr>
        <w:t>12</w:t>
      </w:r>
      <w:r w:rsidRPr="00EE774A">
        <w:rPr>
          <w:rFonts w:ascii="宋体" w:hAnsi="宋体" w:hint="eastAsia"/>
          <w:color w:val="000000"/>
          <w:sz w:val="28"/>
          <w:szCs w:val="28"/>
        </w:rPr>
        <w:t>日正式成立。截至报告日，本产品规模为</w:t>
      </w:r>
      <w:r w:rsidRPr="00EE774A">
        <w:rPr>
          <w:rFonts w:ascii="宋体" w:hAnsi="宋体" w:cs="宋体" w:hint="eastAsia"/>
          <w:bCs/>
          <w:color w:val="000000"/>
          <w:kern w:val="0"/>
          <w:sz w:val="28"/>
          <w:szCs w:val="28"/>
        </w:rPr>
        <w:t xml:space="preserve">               </w:t>
      </w:r>
      <w:r w:rsidRPr="00000D4B">
        <w:rPr>
          <w:rFonts w:ascii="宋体" w:hAnsi="宋体" w:cs="宋体" w:hint="eastAsia"/>
          <w:bCs/>
          <w:color w:val="000000"/>
          <w:kern w:val="0"/>
          <w:sz w:val="28"/>
          <w:szCs w:val="28"/>
        </w:rPr>
        <w:t xml:space="preserve">   </w:t>
      </w:r>
      <w:r w:rsidRPr="0005385D">
        <w:rPr>
          <w:rFonts w:ascii="宋体" w:hAnsi="宋体" w:cs="宋体" w:hint="eastAsia"/>
          <w:bCs/>
          <w:color w:val="000000"/>
          <w:kern w:val="0"/>
          <w:sz w:val="28"/>
          <w:szCs w:val="28"/>
        </w:rPr>
        <w:t xml:space="preserve">    </w:t>
      </w:r>
      <w:r w:rsidRPr="005D1270">
        <w:rPr>
          <w:rFonts w:ascii="宋体" w:hAnsi="宋体" w:cs="宋体" w:hint="eastAsia"/>
          <w:bCs/>
          <w:color w:val="000000"/>
          <w:kern w:val="0"/>
          <w:sz w:val="28"/>
          <w:szCs w:val="28"/>
        </w:rPr>
        <w:t xml:space="preserve">    </w:t>
      </w:r>
      <w:r w:rsidRPr="00AC15F3">
        <w:rPr>
          <w:rFonts w:ascii="宋体" w:hAnsi="宋体" w:cs="宋体" w:hint="eastAsia"/>
          <w:bCs/>
          <w:color w:val="000000"/>
          <w:kern w:val="0"/>
          <w:sz w:val="28"/>
          <w:szCs w:val="28"/>
        </w:rPr>
        <w:t xml:space="preserve">   </w:t>
      </w:r>
      <w:r w:rsidRPr="00CF768F">
        <w:rPr>
          <w:rFonts w:ascii="宋体" w:hAnsi="宋体" w:cs="宋体" w:hint="eastAsia"/>
          <w:bCs/>
          <w:color w:val="000000"/>
          <w:kern w:val="0"/>
          <w:sz w:val="28"/>
          <w:szCs w:val="28"/>
        </w:rPr>
        <w:t xml:space="preserve">    </w:t>
      </w:r>
      <w:r w:rsidRPr="0035334D">
        <w:rPr>
          <w:rFonts w:ascii="宋体" w:hAnsi="宋体" w:cs="宋体" w:hint="eastAsia"/>
          <w:bCs/>
          <w:color w:val="000000"/>
          <w:kern w:val="0"/>
          <w:sz w:val="28"/>
          <w:szCs w:val="28"/>
        </w:rPr>
        <w:t xml:space="preserve">    </w:t>
      </w:r>
      <w:r w:rsidRPr="00162740">
        <w:rPr>
          <w:rFonts w:ascii="宋体" w:hAnsi="宋体" w:cs="宋体" w:hint="eastAsia"/>
          <w:bCs/>
          <w:color w:val="000000"/>
          <w:kern w:val="0"/>
          <w:sz w:val="28"/>
          <w:szCs w:val="28"/>
        </w:rPr>
        <w:t xml:space="preserve">    </w:t>
      </w:r>
      <w:r w:rsidR="00C75735" w:rsidRPr="00C75735">
        <w:rPr>
          <w:rFonts w:ascii="宋体" w:hAnsi="宋体" w:hint="eastAsia"/>
          <w:color w:val="000000"/>
          <w:sz w:val="28"/>
          <w:szCs w:val="28"/>
        </w:rPr>
        <w:t>1,706,721,421.00</w:t>
      </w:r>
      <w:r w:rsidRPr="00315C8E">
        <w:rPr>
          <w:rFonts w:ascii="宋体" w:hAnsi="宋体" w:hint="eastAsia"/>
          <w:color w:val="000000"/>
          <w:sz w:val="28"/>
          <w:szCs w:val="28"/>
        </w:rPr>
        <w:t xml:space="preserve">元。  </w:t>
      </w:r>
    </w:p>
    <w:p w:rsidR="000B1283" w:rsidRPr="00EE774A" w:rsidRDefault="000B1283" w:rsidP="000B1283">
      <w:pPr>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一、报告期投资者实际收益率</w:t>
      </w:r>
    </w:p>
    <w:p w:rsidR="00C75735" w:rsidRPr="00C75735" w:rsidRDefault="00C75735" w:rsidP="00C75735">
      <w:pPr>
        <w:ind w:firstLine="420"/>
        <w:rPr>
          <w:rFonts w:ascii="宋体" w:hAnsi="宋体"/>
          <w:color w:val="000000"/>
          <w:sz w:val="28"/>
          <w:szCs w:val="28"/>
        </w:rPr>
      </w:pPr>
      <w:r w:rsidRPr="00C75735">
        <w:rPr>
          <w:rFonts w:ascii="宋体" w:hAnsi="宋体" w:hint="eastAsia"/>
          <w:color w:val="000000"/>
          <w:sz w:val="28"/>
          <w:szCs w:val="28"/>
        </w:rPr>
        <w:t>中国建设银行于</w:t>
      </w:r>
      <w:r w:rsidRPr="00C75735">
        <w:rPr>
          <w:rFonts w:ascii="宋体" w:hAnsi="宋体"/>
          <w:color w:val="000000"/>
          <w:sz w:val="28"/>
          <w:szCs w:val="28"/>
        </w:rPr>
        <w:t>2018</w:t>
      </w:r>
      <w:r w:rsidRPr="00C75735">
        <w:rPr>
          <w:rFonts w:ascii="宋体" w:hAnsi="宋体" w:hint="eastAsia"/>
          <w:color w:val="000000"/>
          <w:sz w:val="28"/>
          <w:szCs w:val="28"/>
        </w:rPr>
        <w:t>年</w:t>
      </w:r>
      <w:r w:rsidRPr="00C75735">
        <w:rPr>
          <w:rFonts w:ascii="宋体" w:hAnsi="宋体"/>
          <w:color w:val="000000"/>
          <w:sz w:val="28"/>
          <w:szCs w:val="28"/>
        </w:rPr>
        <w:t>1</w:t>
      </w:r>
      <w:r w:rsidRPr="00C75735">
        <w:rPr>
          <w:rFonts w:ascii="宋体" w:hAnsi="宋体" w:hint="eastAsia"/>
          <w:color w:val="000000"/>
          <w:sz w:val="28"/>
          <w:szCs w:val="28"/>
        </w:rPr>
        <w:t>月</w:t>
      </w:r>
      <w:r w:rsidRPr="00C75735">
        <w:rPr>
          <w:rFonts w:ascii="宋体" w:hAnsi="宋体"/>
          <w:color w:val="000000"/>
          <w:sz w:val="28"/>
          <w:szCs w:val="28"/>
        </w:rPr>
        <w:t>22</w:t>
      </w:r>
      <w:r w:rsidRPr="00C75735">
        <w:rPr>
          <w:rFonts w:ascii="宋体" w:hAnsi="宋体" w:hint="eastAsia"/>
          <w:color w:val="000000"/>
          <w:sz w:val="28"/>
          <w:szCs w:val="28"/>
        </w:rPr>
        <w:t>日（含）起，调整</w:t>
      </w:r>
      <w:r w:rsidRPr="00C75735">
        <w:rPr>
          <w:rFonts w:ascii="宋体" w:hAnsi="宋体"/>
          <w:color w:val="000000"/>
          <w:sz w:val="28"/>
          <w:szCs w:val="28"/>
        </w:rPr>
        <w:t>“</w:t>
      </w:r>
      <w:r w:rsidRPr="00C75735">
        <w:rPr>
          <w:rFonts w:ascii="宋体" w:hAnsi="宋体" w:hint="eastAsia"/>
          <w:color w:val="000000"/>
          <w:sz w:val="28"/>
          <w:szCs w:val="28"/>
        </w:rPr>
        <w:t>乾元</w:t>
      </w:r>
      <w:r w:rsidRPr="00C75735">
        <w:rPr>
          <w:rFonts w:ascii="宋体" w:hAnsi="宋体"/>
          <w:color w:val="000000"/>
          <w:sz w:val="28"/>
          <w:szCs w:val="28"/>
        </w:rPr>
        <w:t>—</w:t>
      </w:r>
      <w:r w:rsidRPr="00C75735">
        <w:rPr>
          <w:rFonts w:ascii="宋体" w:hAnsi="宋体" w:hint="eastAsia"/>
          <w:color w:val="000000"/>
          <w:sz w:val="28"/>
          <w:szCs w:val="28"/>
        </w:rPr>
        <w:t>满溢</w:t>
      </w:r>
      <w:r w:rsidRPr="00C75735">
        <w:rPr>
          <w:rFonts w:ascii="宋体" w:hAnsi="宋体"/>
          <w:color w:val="000000"/>
          <w:sz w:val="28"/>
          <w:szCs w:val="28"/>
        </w:rPr>
        <w:t>”120</w:t>
      </w:r>
      <w:r w:rsidRPr="00C75735">
        <w:rPr>
          <w:rFonts w:ascii="宋体" w:hAnsi="宋体" w:hint="eastAsia"/>
          <w:color w:val="000000"/>
          <w:sz w:val="28"/>
          <w:szCs w:val="28"/>
        </w:rPr>
        <w:t>天开放式资产组合型人民币理财产品（机构版）客户预期年化收益率，具体如下表：</w:t>
      </w:r>
    </w:p>
    <w:tbl>
      <w:tblPr>
        <w:tblW w:w="5000" w:type="pct"/>
        <w:tblCellMar>
          <w:top w:w="15" w:type="dxa"/>
          <w:left w:w="15" w:type="dxa"/>
          <w:bottom w:w="15" w:type="dxa"/>
          <w:right w:w="15" w:type="dxa"/>
        </w:tblCellMar>
        <w:tblLook w:val="04A0" w:firstRow="1" w:lastRow="0" w:firstColumn="1" w:lastColumn="0" w:noHBand="0" w:noVBand="1"/>
      </w:tblPr>
      <w:tblGrid>
        <w:gridCol w:w="1105"/>
        <w:gridCol w:w="3645"/>
        <w:gridCol w:w="3643"/>
        <w:gridCol w:w="36"/>
      </w:tblGrid>
      <w:tr w:rsidR="00C75735" w:rsidRPr="00C75735" w:rsidTr="00C75735">
        <w:trPr>
          <w:trHeight w:val="552"/>
        </w:trPr>
        <w:tc>
          <w:tcPr>
            <w:tcW w:w="65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735" w:rsidRPr="00C75735" w:rsidRDefault="00C75735" w:rsidP="00C75735">
            <w:r w:rsidRPr="00C75735">
              <w:rPr>
                <w:rFonts w:hint="eastAsia"/>
              </w:rPr>
              <w:t>档期设置</w:t>
            </w:r>
          </w:p>
        </w:tc>
        <w:tc>
          <w:tcPr>
            <w:tcW w:w="21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5735" w:rsidRPr="00C75735" w:rsidRDefault="00C75735" w:rsidP="00C75735">
            <w:r w:rsidRPr="00C75735">
              <w:rPr>
                <w:rFonts w:hint="eastAsia"/>
              </w:rPr>
              <w:t>客户预期年化收益率（调整前）</w:t>
            </w:r>
          </w:p>
        </w:tc>
        <w:tc>
          <w:tcPr>
            <w:tcW w:w="21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75735" w:rsidRPr="00C75735" w:rsidRDefault="00C75735" w:rsidP="00C75735">
            <w:r w:rsidRPr="00C75735">
              <w:rPr>
                <w:rFonts w:hint="eastAsia"/>
              </w:rPr>
              <w:t>客户预期年化收益率（调整后）</w:t>
            </w:r>
          </w:p>
        </w:tc>
        <w:tc>
          <w:tcPr>
            <w:tcW w:w="6" w:type="dxa"/>
            <w:vAlign w:val="center"/>
            <w:hideMark/>
          </w:tcPr>
          <w:p w:rsidR="00C75735" w:rsidRPr="00C75735" w:rsidRDefault="00C75735" w:rsidP="00C75735"/>
        </w:tc>
      </w:tr>
      <w:tr w:rsidR="00C75735" w:rsidRPr="00C75735" w:rsidTr="00C75735">
        <w:trPr>
          <w:trHeight w:val="45"/>
        </w:trPr>
        <w:tc>
          <w:tcPr>
            <w:tcW w:w="0" w:type="auto"/>
            <w:vMerge/>
            <w:tcBorders>
              <w:top w:val="single" w:sz="8" w:space="0" w:color="auto"/>
              <w:left w:val="single" w:sz="8" w:space="0" w:color="auto"/>
              <w:bottom w:val="single" w:sz="8" w:space="0" w:color="auto"/>
              <w:right w:val="single" w:sz="8" w:space="0" w:color="auto"/>
            </w:tcBorders>
            <w:vAlign w:val="center"/>
            <w:hideMark/>
          </w:tcPr>
          <w:p w:rsidR="00C75735" w:rsidRPr="00C75735" w:rsidRDefault="00C75735" w:rsidP="00C75735"/>
        </w:tc>
        <w:tc>
          <w:tcPr>
            <w:tcW w:w="0" w:type="auto"/>
            <w:vMerge/>
            <w:tcBorders>
              <w:top w:val="single" w:sz="8" w:space="0" w:color="auto"/>
              <w:left w:val="nil"/>
              <w:bottom w:val="single" w:sz="8" w:space="0" w:color="auto"/>
              <w:right w:val="single" w:sz="8" w:space="0" w:color="auto"/>
            </w:tcBorders>
            <w:vAlign w:val="center"/>
            <w:hideMark/>
          </w:tcPr>
          <w:p w:rsidR="00C75735" w:rsidRPr="00C75735" w:rsidRDefault="00C75735" w:rsidP="00C75735"/>
        </w:tc>
        <w:tc>
          <w:tcPr>
            <w:tcW w:w="0" w:type="auto"/>
            <w:vMerge/>
            <w:tcBorders>
              <w:top w:val="single" w:sz="8" w:space="0" w:color="auto"/>
              <w:left w:val="nil"/>
              <w:bottom w:val="single" w:sz="8" w:space="0" w:color="auto"/>
              <w:right w:val="single" w:sz="8" w:space="0" w:color="auto"/>
            </w:tcBorders>
            <w:vAlign w:val="center"/>
            <w:hideMark/>
          </w:tcPr>
          <w:p w:rsidR="00C75735" w:rsidRPr="00C75735" w:rsidRDefault="00C75735" w:rsidP="00C75735"/>
        </w:tc>
        <w:tc>
          <w:tcPr>
            <w:tcW w:w="6" w:type="dxa"/>
            <w:vAlign w:val="center"/>
            <w:hideMark/>
          </w:tcPr>
          <w:p w:rsidR="00C75735" w:rsidRPr="00C75735" w:rsidRDefault="00C75735" w:rsidP="00C75735"/>
        </w:tc>
      </w:tr>
      <w:tr w:rsidR="00C75735" w:rsidRPr="00C75735" w:rsidTr="00C75735">
        <w:trPr>
          <w:trHeight w:val="538"/>
        </w:trPr>
        <w:tc>
          <w:tcPr>
            <w:tcW w:w="65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5735" w:rsidRPr="00C75735" w:rsidRDefault="00C75735" w:rsidP="00C75735">
            <w:r w:rsidRPr="00C75735">
              <w:t>120</w:t>
            </w:r>
            <w:r w:rsidRPr="00C75735">
              <w:rPr>
                <w:rFonts w:hint="eastAsia"/>
              </w:rPr>
              <w:t>天</w:t>
            </w:r>
          </w:p>
        </w:tc>
        <w:tc>
          <w:tcPr>
            <w:tcW w:w="21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735" w:rsidRPr="00C75735" w:rsidRDefault="00C75735" w:rsidP="00C75735">
            <w:r w:rsidRPr="00C75735">
              <w:t>4.50%</w:t>
            </w:r>
          </w:p>
        </w:tc>
        <w:tc>
          <w:tcPr>
            <w:tcW w:w="21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75735" w:rsidRPr="00C75735" w:rsidRDefault="00C75735" w:rsidP="00C75735">
            <w:r w:rsidRPr="00C75735">
              <w:t>4.75%</w:t>
            </w:r>
          </w:p>
        </w:tc>
        <w:tc>
          <w:tcPr>
            <w:tcW w:w="6" w:type="dxa"/>
            <w:vAlign w:val="center"/>
            <w:hideMark/>
          </w:tcPr>
          <w:p w:rsidR="00C75735" w:rsidRPr="00C75735" w:rsidRDefault="00C75735" w:rsidP="00C75735"/>
        </w:tc>
      </w:tr>
    </w:tbl>
    <w:p w:rsidR="00C75735" w:rsidRPr="00C75735" w:rsidRDefault="00C75735" w:rsidP="00C75735">
      <w:pPr>
        <w:ind w:firstLine="420"/>
        <w:rPr>
          <w:rFonts w:ascii="宋体" w:hAnsi="宋体"/>
          <w:color w:val="000000"/>
          <w:sz w:val="28"/>
          <w:szCs w:val="28"/>
        </w:rPr>
      </w:pPr>
      <w:r w:rsidRPr="00C75735">
        <w:rPr>
          <w:rFonts w:ascii="宋体" w:hAnsi="宋体" w:hint="eastAsia"/>
          <w:color w:val="000000"/>
          <w:sz w:val="28"/>
          <w:szCs w:val="28"/>
        </w:rPr>
        <w:t>新客户预期年化收益率于</w:t>
      </w:r>
      <w:r w:rsidRPr="00C75735">
        <w:rPr>
          <w:rFonts w:ascii="宋体" w:hAnsi="宋体"/>
          <w:color w:val="000000"/>
          <w:sz w:val="28"/>
          <w:szCs w:val="28"/>
        </w:rPr>
        <w:t>2018</w:t>
      </w:r>
      <w:r w:rsidRPr="00C75735">
        <w:rPr>
          <w:rFonts w:ascii="宋体" w:hAnsi="宋体" w:hint="eastAsia"/>
          <w:color w:val="000000"/>
          <w:sz w:val="28"/>
          <w:szCs w:val="28"/>
        </w:rPr>
        <w:t>年</w:t>
      </w:r>
      <w:r w:rsidRPr="00C75735">
        <w:rPr>
          <w:rFonts w:ascii="宋体" w:hAnsi="宋体"/>
          <w:color w:val="000000"/>
          <w:sz w:val="28"/>
          <w:szCs w:val="28"/>
        </w:rPr>
        <w:t>1</w:t>
      </w:r>
      <w:r w:rsidRPr="00C75735">
        <w:rPr>
          <w:rFonts w:ascii="宋体" w:hAnsi="宋体" w:hint="eastAsia"/>
          <w:color w:val="000000"/>
          <w:sz w:val="28"/>
          <w:szCs w:val="28"/>
        </w:rPr>
        <w:t>月</w:t>
      </w:r>
      <w:r w:rsidRPr="00C75735">
        <w:rPr>
          <w:rFonts w:ascii="宋体" w:hAnsi="宋体"/>
          <w:color w:val="000000"/>
          <w:sz w:val="28"/>
          <w:szCs w:val="28"/>
        </w:rPr>
        <w:t>22</w:t>
      </w:r>
      <w:r w:rsidRPr="00C75735">
        <w:rPr>
          <w:rFonts w:ascii="宋体" w:hAnsi="宋体" w:hint="eastAsia"/>
          <w:color w:val="000000"/>
          <w:sz w:val="28"/>
          <w:szCs w:val="28"/>
        </w:rPr>
        <w:t>日（含）起执行。对于</w:t>
      </w:r>
      <w:r w:rsidRPr="00C75735">
        <w:rPr>
          <w:rFonts w:ascii="宋体" w:hAnsi="宋体"/>
          <w:color w:val="000000"/>
          <w:sz w:val="28"/>
          <w:szCs w:val="28"/>
        </w:rPr>
        <w:t>2018</w:t>
      </w:r>
      <w:r w:rsidRPr="00C75735">
        <w:rPr>
          <w:rFonts w:ascii="宋体" w:hAnsi="宋体" w:hint="eastAsia"/>
          <w:color w:val="000000"/>
          <w:sz w:val="28"/>
          <w:szCs w:val="28"/>
        </w:rPr>
        <w:t>年</w:t>
      </w:r>
      <w:r w:rsidRPr="00C75735">
        <w:rPr>
          <w:rFonts w:ascii="宋体" w:hAnsi="宋体"/>
          <w:color w:val="000000"/>
          <w:sz w:val="28"/>
          <w:szCs w:val="28"/>
        </w:rPr>
        <w:t>1</w:t>
      </w:r>
      <w:r w:rsidRPr="00C75735">
        <w:rPr>
          <w:rFonts w:ascii="宋体" w:hAnsi="宋体" w:hint="eastAsia"/>
          <w:color w:val="000000"/>
          <w:sz w:val="28"/>
          <w:szCs w:val="28"/>
        </w:rPr>
        <w:t>月</w:t>
      </w:r>
      <w:r w:rsidRPr="00C75735">
        <w:rPr>
          <w:rFonts w:ascii="宋体" w:hAnsi="宋体"/>
          <w:color w:val="000000"/>
          <w:sz w:val="28"/>
          <w:szCs w:val="28"/>
        </w:rPr>
        <w:t>22</w:t>
      </w:r>
      <w:r w:rsidRPr="00C75735">
        <w:rPr>
          <w:rFonts w:ascii="宋体" w:hAnsi="宋体" w:hint="eastAsia"/>
          <w:color w:val="000000"/>
          <w:sz w:val="28"/>
          <w:szCs w:val="28"/>
        </w:rPr>
        <w:t>日（不含）前已经购买成功且未赎回的存量投资本金，其中封闭期内的份额仍按照购买确认日当日的客户预期年化收益率计算投资收益，非封闭期内的份额从</w:t>
      </w:r>
      <w:r w:rsidRPr="00C75735">
        <w:rPr>
          <w:rFonts w:ascii="宋体" w:hAnsi="宋体"/>
          <w:color w:val="000000"/>
          <w:sz w:val="28"/>
          <w:szCs w:val="28"/>
        </w:rPr>
        <w:t>2018</w:t>
      </w:r>
      <w:r w:rsidRPr="00C75735">
        <w:rPr>
          <w:rFonts w:ascii="宋体" w:hAnsi="宋体" w:hint="eastAsia"/>
          <w:color w:val="000000"/>
          <w:sz w:val="28"/>
          <w:szCs w:val="28"/>
        </w:rPr>
        <w:t>年</w:t>
      </w:r>
      <w:r w:rsidRPr="00C75735">
        <w:rPr>
          <w:rFonts w:ascii="宋体" w:hAnsi="宋体"/>
          <w:color w:val="000000"/>
          <w:sz w:val="28"/>
          <w:szCs w:val="28"/>
        </w:rPr>
        <w:t>1</w:t>
      </w:r>
      <w:r w:rsidRPr="00C75735">
        <w:rPr>
          <w:rFonts w:ascii="宋体" w:hAnsi="宋体" w:hint="eastAsia"/>
          <w:color w:val="000000"/>
          <w:sz w:val="28"/>
          <w:szCs w:val="28"/>
        </w:rPr>
        <w:t>月</w:t>
      </w:r>
      <w:r w:rsidRPr="00C75735">
        <w:rPr>
          <w:rFonts w:ascii="宋体" w:hAnsi="宋体"/>
          <w:color w:val="000000"/>
          <w:sz w:val="28"/>
          <w:szCs w:val="28"/>
        </w:rPr>
        <w:t>22</w:t>
      </w:r>
      <w:r w:rsidRPr="00C75735">
        <w:rPr>
          <w:rFonts w:ascii="宋体" w:hAnsi="宋体" w:hint="eastAsia"/>
          <w:color w:val="000000"/>
          <w:sz w:val="28"/>
          <w:szCs w:val="28"/>
        </w:rPr>
        <w:t>日（含）起按调整后的预期年化收益率计算投资收益。</w:t>
      </w:r>
      <w:r w:rsidRPr="00C75735">
        <w:rPr>
          <w:rFonts w:ascii="宋体" w:hAnsi="宋体"/>
          <w:color w:val="000000"/>
          <w:sz w:val="28"/>
          <w:szCs w:val="28"/>
        </w:rPr>
        <w:t>2018</w:t>
      </w:r>
      <w:r w:rsidRPr="00C75735">
        <w:rPr>
          <w:rFonts w:ascii="宋体" w:hAnsi="宋体" w:hint="eastAsia"/>
          <w:color w:val="000000"/>
          <w:sz w:val="28"/>
          <w:szCs w:val="28"/>
        </w:rPr>
        <w:t>年</w:t>
      </w:r>
      <w:r w:rsidRPr="00C75735">
        <w:rPr>
          <w:rFonts w:ascii="宋体" w:hAnsi="宋体"/>
          <w:color w:val="000000"/>
          <w:sz w:val="28"/>
          <w:szCs w:val="28"/>
        </w:rPr>
        <w:t>1</w:t>
      </w:r>
      <w:r w:rsidRPr="00C75735">
        <w:rPr>
          <w:rFonts w:ascii="宋体" w:hAnsi="宋体" w:hint="eastAsia"/>
          <w:color w:val="000000"/>
          <w:sz w:val="28"/>
          <w:szCs w:val="28"/>
        </w:rPr>
        <w:t>月</w:t>
      </w:r>
      <w:r w:rsidRPr="00C75735">
        <w:rPr>
          <w:rFonts w:ascii="宋体" w:hAnsi="宋体"/>
          <w:color w:val="000000"/>
          <w:sz w:val="28"/>
          <w:szCs w:val="28"/>
        </w:rPr>
        <w:t>22</w:t>
      </w:r>
      <w:r w:rsidRPr="00C75735">
        <w:rPr>
          <w:rFonts w:ascii="宋体" w:hAnsi="宋体" w:hint="eastAsia"/>
          <w:color w:val="000000"/>
          <w:sz w:val="28"/>
          <w:szCs w:val="28"/>
        </w:rPr>
        <w:t>日（含）后购买的部分自动执行调整后的客户预期年化收益率。但前述情形下的最终投资收益均以我行最终支付的实际年化收益率为准。</w:t>
      </w:r>
    </w:p>
    <w:p w:rsidR="000B1283" w:rsidRPr="00EE774A" w:rsidRDefault="000B1283" w:rsidP="000B1283">
      <w:pPr>
        <w:ind w:firstLineChars="200" w:firstLine="560"/>
        <w:jc w:val="left"/>
        <w:rPr>
          <w:rFonts w:ascii="宋体" w:hAnsi="宋体"/>
          <w:color w:val="000000"/>
          <w:sz w:val="28"/>
          <w:szCs w:val="28"/>
        </w:rPr>
      </w:pPr>
      <w:r w:rsidRPr="009E0E2D">
        <w:rPr>
          <w:rFonts w:ascii="宋体" w:hAnsi="宋体" w:hint="eastAsia"/>
          <w:color w:val="000000"/>
          <w:sz w:val="28"/>
          <w:szCs w:val="28"/>
        </w:rPr>
        <w:t>相关</w:t>
      </w:r>
      <w:r w:rsidRPr="00EE774A">
        <w:rPr>
          <w:rFonts w:ascii="宋体" w:hAnsi="宋体" w:hint="eastAsia"/>
          <w:color w:val="000000"/>
          <w:sz w:val="28"/>
          <w:szCs w:val="28"/>
        </w:rPr>
        <w:t>收益及计算方法，请具体查阅对应的收益率调整公告及产品说明书。</w:t>
      </w:r>
    </w:p>
    <w:p w:rsidR="000B1283" w:rsidRPr="00EE774A" w:rsidRDefault="000B1283" w:rsidP="000B1283">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二、产品投资组合详细情况</w:t>
      </w:r>
    </w:p>
    <w:p w:rsidR="000B1283" w:rsidRPr="00EE774A" w:rsidRDefault="000B1283" w:rsidP="000B1283">
      <w:pPr>
        <w:spacing w:line="480" w:lineRule="exact"/>
        <w:ind w:firstLineChars="200" w:firstLine="562"/>
        <w:outlineLvl w:val="0"/>
        <w:rPr>
          <w:rFonts w:ascii="宋体" w:hAnsi="宋体"/>
          <w:b/>
          <w:color w:val="000000"/>
          <w:sz w:val="28"/>
          <w:szCs w:val="28"/>
        </w:rPr>
      </w:pPr>
      <w:r w:rsidRPr="00EE774A">
        <w:rPr>
          <w:rFonts w:ascii="宋体" w:hAnsi="宋体" w:hint="eastAsia"/>
          <w:b/>
          <w:color w:val="000000"/>
          <w:sz w:val="28"/>
          <w:szCs w:val="28"/>
        </w:rPr>
        <w:t>（一）投资组合的基本情况</w:t>
      </w:r>
    </w:p>
    <w:p w:rsidR="000B1283" w:rsidRPr="00EE774A" w:rsidRDefault="008431E5" w:rsidP="000B1283">
      <w:pPr>
        <w:jc w:val="center"/>
        <w:rPr>
          <w:rFonts w:ascii="宋体" w:hAnsi="宋体"/>
          <w:color w:val="000000"/>
          <w:sz w:val="28"/>
          <w:szCs w:val="28"/>
        </w:rPr>
      </w:pPr>
      <w:r>
        <w:rPr>
          <w:noProof/>
        </w:rPr>
        <w:lastRenderedPageBreak/>
        <w:drawing>
          <wp:inline distT="0" distB="0" distL="0" distR="0" wp14:anchorId="18214BAA" wp14:editId="21ABA2DD">
            <wp:extent cx="3695700" cy="2019300"/>
            <wp:effectExtent l="0" t="0" r="1905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B1283" w:rsidRPr="00EE774A" w:rsidRDefault="000B1283" w:rsidP="000B1283">
      <w:pPr>
        <w:spacing w:line="480" w:lineRule="exact"/>
        <w:ind w:firstLineChars="146" w:firstLine="410"/>
        <w:outlineLvl w:val="0"/>
        <w:rPr>
          <w:rFonts w:ascii="宋体" w:hAnsi="宋体"/>
          <w:b/>
          <w:color w:val="000000"/>
          <w:sz w:val="28"/>
          <w:szCs w:val="28"/>
        </w:rPr>
      </w:pPr>
      <w:r>
        <w:rPr>
          <w:rFonts w:ascii="宋体" w:hAnsi="宋体" w:hint="eastAsia"/>
          <w:b/>
          <w:color w:val="000000"/>
          <w:sz w:val="28"/>
          <w:szCs w:val="28"/>
        </w:rPr>
        <w:t xml:space="preserve"> </w:t>
      </w:r>
      <w:r w:rsidRPr="00EE774A">
        <w:rPr>
          <w:rFonts w:ascii="宋体" w:hAnsi="宋体" w:hint="eastAsia"/>
          <w:b/>
          <w:color w:val="000000"/>
          <w:sz w:val="28"/>
          <w:szCs w:val="28"/>
        </w:rPr>
        <w:t>（二）融资类资产的行内评级构成</w:t>
      </w:r>
    </w:p>
    <w:p w:rsidR="000B1283" w:rsidRPr="00EE774A" w:rsidRDefault="008431E5" w:rsidP="000B1283">
      <w:pPr>
        <w:jc w:val="center"/>
        <w:rPr>
          <w:rFonts w:ascii="宋体" w:hAnsi="宋体"/>
          <w:color w:val="000000"/>
          <w:sz w:val="28"/>
          <w:szCs w:val="28"/>
        </w:rPr>
      </w:pPr>
      <w:r>
        <w:rPr>
          <w:noProof/>
        </w:rPr>
        <w:drawing>
          <wp:inline distT="0" distB="0" distL="0" distR="0" wp14:anchorId="1CCF52AE" wp14:editId="178AAF3F">
            <wp:extent cx="3233737" cy="1819275"/>
            <wp:effectExtent l="0" t="0" r="2413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1283" w:rsidRPr="00EE774A" w:rsidRDefault="000B1283" w:rsidP="000B1283">
      <w:pPr>
        <w:spacing w:line="480" w:lineRule="exact"/>
        <w:ind w:firstLineChars="200" w:firstLine="562"/>
        <w:outlineLvl w:val="0"/>
        <w:rPr>
          <w:rFonts w:ascii="宋体" w:hAnsi="宋体"/>
          <w:b/>
          <w:color w:val="000000"/>
          <w:sz w:val="28"/>
          <w:szCs w:val="28"/>
        </w:rPr>
      </w:pPr>
      <w:r w:rsidRPr="00C75BE9">
        <w:rPr>
          <w:rFonts w:ascii="宋体" w:hAnsi="宋体" w:hint="eastAsia"/>
          <w:b/>
          <w:color w:val="000000"/>
          <w:sz w:val="28"/>
          <w:szCs w:val="28"/>
        </w:rPr>
        <w:t>（三</w:t>
      </w:r>
      <w:r w:rsidRPr="00C75BE9">
        <w:rPr>
          <w:rFonts w:ascii="宋体" w:hAnsi="宋体"/>
          <w:b/>
          <w:color w:val="000000"/>
          <w:sz w:val="28"/>
          <w:szCs w:val="28"/>
        </w:rPr>
        <w:t>）</w:t>
      </w:r>
      <w:r w:rsidRPr="00C75BE9">
        <w:rPr>
          <w:rFonts w:ascii="宋体" w:hAnsi="宋体" w:hint="eastAsia"/>
          <w:b/>
          <w:color w:val="000000"/>
          <w:sz w:val="28"/>
          <w:szCs w:val="28"/>
        </w:rPr>
        <w:t>融资类资产的行业占比构成</w:t>
      </w:r>
      <w:r>
        <w:rPr>
          <w:rFonts w:ascii="宋体" w:hAnsi="宋体" w:hint="eastAsia"/>
          <w:b/>
          <w:color w:val="000000"/>
          <w:sz w:val="28"/>
          <w:szCs w:val="28"/>
        </w:rPr>
        <w:t>及当月增减变化</w:t>
      </w:r>
      <w:r w:rsidRPr="00C75BE9">
        <w:rPr>
          <w:rFonts w:ascii="宋体" w:hAnsi="宋体" w:hint="eastAsia"/>
          <w:b/>
          <w:color w:val="000000"/>
          <w:sz w:val="28"/>
          <w:szCs w:val="28"/>
        </w:rPr>
        <w:t>情况</w:t>
      </w:r>
    </w:p>
    <w:p w:rsidR="000B1283" w:rsidRPr="005622F6" w:rsidRDefault="008431E5" w:rsidP="000B1283">
      <w:pPr>
        <w:ind w:right="1400"/>
        <w:rPr>
          <w:rFonts w:ascii="宋体" w:hAnsi="宋体"/>
          <w:color w:val="000000"/>
          <w:sz w:val="28"/>
          <w:szCs w:val="28"/>
        </w:rPr>
      </w:pPr>
      <w:r>
        <w:rPr>
          <w:noProof/>
        </w:rPr>
        <w:drawing>
          <wp:inline distT="0" distB="0" distL="0" distR="0" wp14:anchorId="710C11E5" wp14:editId="57F7814A">
            <wp:extent cx="4572000" cy="25908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1283" w:rsidRPr="00EE774A" w:rsidRDefault="000B1283" w:rsidP="000B1283">
      <w:pPr>
        <w:spacing w:line="480" w:lineRule="exact"/>
        <w:ind w:firstLineChars="200" w:firstLine="562"/>
        <w:outlineLvl w:val="0"/>
        <w:rPr>
          <w:rFonts w:ascii="宋体" w:hAnsi="宋体"/>
          <w:color w:val="000000"/>
          <w:sz w:val="28"/>
          <w:szCs w:val="28"/>
        </w:rPr>
      </w:pPr>
      <w:r w:rsidRPr="00986C29">
        <w:rPr>
          <w:rFonts w:ascii="宋体" w:hAnsi="宋体" w:hint="eastAsia"/>
          <w:b/>
          <w:color w:val="000000"/>
          <w:sz w:val="28"/>
          <w:szCs w:val="28"/>
        </w:rPr>
        <w:t>三、</w:t>
      </w:r>
      <w:r w:rsidRPr="00EE774A">
        <w:rPr>
          <w:rFonts w:ascii="宋体" w:hAnsi="宋体" w:hint="eastAsia"/>
          <w:b/>
          <w:color w:val="000000"/>
          <w:sz w:val="28"/>
          <w:szCs w:val="28"/>
        </w:rPr>
        <w:t>产品整体运作情况</w:t>
      </w:r>
    </w:p>
    <w:p w:rsidR="000B1283" w:rsidRPr="00EE774A" w:rsidRDefault="000B1283" w:rsidP="000B1283">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（1）自本产品成立起至本报告日，产品管理人恪尽职守、勤勉尽责、谨慎管理，忠实履行有关法律、行政法规和相关文件的规定。</w:t>
      </w:r>
    </w:p>
    <w:p w:rsidR="000B1283" w:rsidRPr="00EE774A" w:rsidRDefault="000B1283" w:rsidP="000B1283">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（2）截至本报告日，所有投资资产正常运营，未发现有异常情况</w:t>
      </w:r>
      <w:r w:rsidRPr="00EE774A">
        <w:rPr>
          <w:rFonts w:ascii="宋体" w:hAnsi="宋体" w:hint="eastAsia"/>
          <w:color w:val="000000"/>
          <w:sz w:val="28"/>
          <w:szCs w:val="28"/>
        </w:rPr>
        <w:lastRenderedPageBreak/>
        <w:t>或者不利情况。</w:t>
      </w:r>
    </w:p>
    <w:p w:rsidR="000B1283" w:rsidRPr="00EE774A" w:rsidRDefault="000B1283" w:rsidP="000B1283">
      <w:pPr>
        <w:spacing w:line="480" w:lineRule="exact"/>
        <w:ind w:firstLineChars="150" w:firstLine="420"/>
        <w:rPr>
          <w:rFonts w:ascii="宋体" w:hAnsi="宋体"/>
          <w:color w:val="000000"/>
          <w:sz w:val="28"/>
          <w:szCs w:val="28"/>
        </w:rPr>
      </w:pPr>
      <w:r w:rsidRPr="00EE774A">
        <w:rPr>
          <w:rFonts w:ascii="宋体" w:hAnsi="宋体" w:hint="eastAsia"/>
          <w:color w:val="000000"/>
          <w:sz w:val="28"/>
          <w:szCs w:val="28"/>
        </w:rPr>
        <w:t>（3）本产品自成立至本报告日，没有发生涉诉及诉讼等损害投资者利益的情形。</w:t>
      </w:r>
    </w:p>
    <w:p w:rsidR="000B1283" w:rsidRPr="00EE774A" w:rsidRDefault="000B1283" w:rsidP="000B1283">
      <w:pPr>
        <w:spacing w:line="480" w:lineRule="exact"/>
        <w:ind w:right="362" w:firstLineChars="2050" w:firstLine="5740"/>
        <w:jc w:val="right"/>
        <w:rPr>
          <w:rFonts w:ascii="宋体" w:hAnsi="宋体"/>
          <w:color w:val="000000"/>
          <w:sz w:val="28"/>
          <w:szCs w:val="28"/>
        </w:rPr>
      </w:pPr>
      <w:r w:rsidRPr="00EE774A">
        <w:rPr>
          <w:rFonts w:ascii="宋体" w:hAnsi="宋体" w:hint="eastAsia"/>
          <w:color w:val="000000"/>
          <w:sz w:val="28"/>
          <w:szCs w:val="28"/>
        </w:rPr>
        <w:t>中国建设银行</w:t>
      </w:r>
    </w:p>
    <w:p w:rsidR="008431E5" w:rsidRDefault="000B1283" w:rsidP="00DA395F">
      <w:pPr>
        <w:spacing w:line="480" w:lineRule="exact"/>
        <w:ind w:right="222" w:firstLineChars="200" w:firstLine="560"/>
        <w:jc w:val="right"/>
        <w:rPr>
          <w:rFonts w:ascii="宋体" w:hAnsi="宋体"/>
          <w:color w:val="000000"/>
          <w:sz w:val="28"/>
          <w:szCs w:val="28"/>
        </w:rPr>
      </w:pPr>
      <w:r>
        <w:rPr>
          <w:rFonts w:ascii="宋体" w:hAnsi="宋体" w:hint="eastAsia"/>
          <w:color w:val="000000"/>
          <w:sz w:val="28"/>
          <w:szCs w:val="28"/>
        </w:rPr>
        <w:t>201</w:t>
      </w:r>
      <w:r w:rsidR="008431E5">
        <w:rPr>
          <w:rFonts w:ascii="宋体" w:hAnsi="宋体" w:hint="eastAsia"/>
          <w:color w:val="000000"/>
          <w:sz w:val="28"/>
          <w:szCs w:val="28"/>
        </w:rPr>
        <w:t>8</w:t>
      </w:r>
      <w:r>
        <w:rPr>
          <w:rFonts w:ascii="宋体" w:hAnsi="宋体" w:hint="eastAsia"/>
          <w:color w:val="000000"/>
          <w:sz w:val="28"/>
          <w:szCs w:val="28"/>
        </w:rPr>
        <w:t>年</w:t>
      </w:r>
      <w:r w:rsidR="00315C8E">
        <w:rPr>
          <w:rFonts w:ascii="宋体" w:hAnsi="宋体" w:hint="eastAsia"/>
          <w:color w:val="000000"/>
          <w:sz w:val="28"/>
          <w:szCs w:val="28"/>
        </w:rPr>
        <w:t>2</w:t>
      </w:r>
      <w:r>
        <w:rPr>
          <w:rFonts w:ascii="宋体" w:hAnsi="宋体" w:hint="eastAsia"/>
          <w:color w:val="000000"/>
          <w:sz w:val="28"/>
          <w:szCs w:val="28"/>
        </w:rPr>
        <w:t>月</w:t>
      </w:r>
      <w:r w:rsidR="007A6321">
        <w:rPr>
          <w:rFonts w:ascii="宋体" w:hAnsi="宋体" w:hint="eastAsia"/>
          <w:color w:val="000000"/>
          <w:sz w:val="28"/>
          <w:szCs w:val="28"/>
        </w:rPr>
        <w:t>6</w:t>
      </w:r>
      <w:r>
        <w:rPr>
          <w:rFonts w:ascii="宋体" w:hAnsi="宋体" w:hint="eastAsia"/>
          <w:color w:val="000000"/>
          <w:sz w:val="28"/>
          <w:szCs w:val="28"/>
        </w:rPr>
        <w:t>日</w:t>
      </w:r>
    </w:p>
    <w:sectPr w:rsidR="008431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31E" w:rsidRDefault="00E1431E" w:rsidP="000B1283">
      <w:r>
        <w:separator/>
      </w:r>
    </w:p>
  </w:endnote>
  <w:endnote w:type="continuationSeparator" w:id="0">
    <w:p w:rsidR="00E1431E" w:rsidRDefault="00E1431E" w:rsidP="000B1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31E" w:rsidRDefault="00E1431E" w:rsidP="000B1283">
      <w:r>
        <w:separator/>
      </w:r>
    </w:p>
  </w:footnote>
  <w:footnote w:type="continuationSeparator" w:id="0">
    <w:p w:rsidR="00E1431E" w:rsidRDefault="00E1431E" w:rsidP="000B1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20"/>
    <w:rsid w:val="000B1283"/>
    <w:rsid w:val="000F69A4"/>
    <w:rsid w:val="00153C80"/>
    <w:rsid w:val="00315C8E"/>
    <w:rsid w:val="00344398"/>
    <w:rsid w:val="004F5658"/>
    <w:rsid w:val="00754169"/>
    <w:rsid w:val="007A6321"/>
    <w:rsid w:val="007D3020"/>
    <w:rsid w:val="008431E5"/>
    <w:rsid w:val="008F1F29"/>
    <w:rsid w:val="008F4A95"/>
    <w:rsid w:val="00A454DC"/>
    <w:rsid w:val="00A66F45"/>
    <w:rsid w:val="00BC4DD9"/>
    <w:rsid w:val="00C239F1"/>
    <w:rsid w:val="00C75735"/>
    <w:rsid w:val="00D07506"/>
    <w:rsid w:val="00DA395F"/>
    <w:rsid w:val="00DD71F4"/>
    <w:rsid w:val="00E1431E"/>
    <w:rsid w:val="00FB2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28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2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B1283"/>
    <w:rPr>
      <w:sz w:val="18"/>
      <w:szCs w:val="18"/>
    </w:rPr>
  </w:style>
  <w:style w:type="paragraph" w:styleId="a4">
    <w:name w:val="footer"/>
    <w:basedOn w:val="a"/>
    <w:link w:val="Char0"/>
    <w:uiPriority w:val="99"/>
    <w:unhideWhenUsed/>
    <w:rsid w:val="000B12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B1283"/>
    <w:rPr>
      <w:sz w:val="18"/>
      <w:szCs w:val="18"/>
    </w:rPr>
  </w:style>
  <w:style w:type="paragraph" w:styleId="a5">
    <w:name w:val="Balloon Text"/>
    <w:basedOn w:val="a"/>
    <w:link w:val="Char1"/>
    <w:uiPriority w:val="99"/>
    <w:semiHidden/>
    <w:unhideWhenUsed/>
    <w:rsid w:val="000B1283"/>
    <w:rPr>
      <w:sz w:val="18"/>
      <w:szCs w:val="18"/>
    </w:rPr>
  </w:style>
  <w:style w:type="character" w:customStyle="1" w:styleId="Char1">
    <w:name w:val="批注框文本 Char"/>
    <w:basedOn w:val="a0"/>
    <w:link w:val="a5"/>
    <w:uiPriority w:val="99"/>
    <w:semiHidden/>
    <w:rsid w:val="000B1283"/>
    <w:rPr>
      <w:rFonts w:ascii="Calibri" w:eastAsia="宋体" w:hAnsi="Calibri" w:cs="Times New Roman"/>
      <w:sz w:val="18"/>
      <w:szCs w:val="18"/>
    </w:rPr>
  </w:style>
  <w:style w:type="paragraph" w:styleId="a6">
    <w:name w:val="Normal (Web)"/>
    <w:basedOn w:val="a"/>
    <w:uiPriority w:val="99"/>
    <w:unhideWhenUsed/>
    <w:rsid w:val="00C7573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757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28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12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B1283"/>
    <w:rPr>
      <w:sz w:val="18"/>
      <w:szCs w:val="18"/>
    </w:rPr>
  </w:style>
  <w:style w:type="paragraph" w:styleId="a4">
    <w:name w:val="footer"/>
    <w:basedOn w:val="a"/>
    <w:link w:val="Char0"/>
    <w:uiPriority w:val="99"/>
    <w:unhideWhenUsed/>
    <w:rsid w:val="000B12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B1283"/>
    <w:rPr>
      <w:sz w:val="18"/>
      <w:szCs w:val="18"/>
    </w:rPr>
  </w:style>
  <w:style w:type="paragraph" w:styleId="a5">
    <w:name w:val="Balloon Text"/>
    <w:basedOn w:val="a"/>
    <w:link w:val="Char1"/>
    <w:uiPriority w:val="99"/>
    <w:semiHidden/>
    <w:unhideWhenUsed/>
    <w:rsid w:val="000B1283"/>
    <w:rPr>
      <w:sz w:val="18"/>
      <w:szCs w:val="18"/>
    </w:rPr>
  </w:style>
  <w:style w:type="character" w:customStyle="1" w:styleId="Char1">
    <w:name w:val="批注框文本 Char"/>
    <w:basedOn w:val="a0"/>
    <w:link w:val="a5"/>
    <w:uiPriority w:val="99"/>
    <w:semiHidden/>
    <w:rsid w:val="000B1283"/>
    <w:rPr>
      <w:rFonts w:ascii="Calibri" w:eastAsia="宋体" w:hAnsi="Calibri" w:cs="Times New Roman"/>
      <w:sz w:val="18"/>
      <w:szCs w:val="18"/>
    </w:rPr>
  </w:style>
  <w:style w:type="paragraph" w:styleId="a6">
    <w:name w:val="Normal (Web)"/>
    <w:basedOn w:val="a"/>
    <w:uiPriority w:val="99"/>
    <w:unhideWhenUsed/>
    <w:rsid w:val="00C75735"/>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757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18742">
      <w:bodyDiv w:val="1"/>
      <w:marLeft w:val="0"/>
      <w:marRight w:val="0"/>
      <w:marTop w:val="0"/>
      <w:marBottom w:val="0"/>
      <w:divBdr>
        <w:top w:val="none" w:sz="0" w:space="0" w:color="auto"/>
        <w:left w:val="none" w:sz="0" w:space="0" w:color="auto"/>
        <w:bottom w:val="none" w:sz="0" w:space="0" w:color="auto"/>
        <w:right w:val="none" w:sz="0" w:space="0" w:color="auto"/>
      </w:divBdr>
    </w:div>
    <w:div w:id="303169795">
      <w:bodyDiv w:val="1"/>
      <w:marLeft w:val="0"/>
      <w:marRight w:val="0"/>
      <w:marTop w:val="0"/>
      <w:marBottom w:val="0"/>
      <w:divBdr>
        <w:top w:val="none" w:sz="0" w:space="0" w:color="auto"/>
        <w:left w:val="none" w:sz="0" w:space="0" w:color="auto"/>
        <w:bottom w:val="none" w:sz="0" w:space="0" w:color="auto"/>
        <w:right w:val="none" w:sz="0" w:space="0" w:color="auto"/>
      </w:divBdr>
    </w:div>
    <w:div w:id="310837976">
      <w:bodyDiv w:val="1"/>
      <w:marLeft w:val="0"/>
      <w:marRight w:val="0"/>
      <w:marTop w:val="0"/>
      <w:marBottom w:val="0"/>
      <w:divBdr>
        <w:top w:val="none" w:sz="0" w:space="0" w:color="auto"/>
        <w:left w:val="none" w:sz="0" w:space="0" w:color="auto"/>
        <w:bottom w:val="none" w:sz="0" w:space="0" w:color="auto"/>
        <w:right w:val="none" w:sz="0" w:space="0" w:color="auto"/>
      </w:divBdr>
    </w:div>
    <w:div w:id="1699311808">
      <w:bodyDiv w:val="1"/>
      <w:marLeft w:val="0"/>
      <w:marRight w:val="0"/>
      <w:marTop w:val="0"/>
      <w:marBottom w:val="0"/>
      <w:divBdr>
        <w:top w:val="none" w:sz="0" w:space="0" w:color="auto"/>
        <w:left w:val="none" w:sz="0" w:space="0" w:color="auto"/>
        <w:bottom w:val="none" w:sz="0" w:space="0" w:color="auto"/>
        <w:right w:val="none" w:sz="0" w:space="0" w:color="auto"/>
      </w:divBdr>
    </w:div>
    <w:div w:id="2022193908">
      <w:bodyDiv w:val="1"/>
      <w:marLeft w:val="0"/>
      <w:marRight w:val="0"/>
      <w:marTop w:val="0"/>
      <w:marBottom w:val="0"/>
      <w:divBdr>
        <w:top w:val="none" w:sz="0" w:space="0" w:color="auto"/>
        <w:left w:val="none" w:sz="0" w:space="0" w:color="auto"/>
        <w:bottom w:val="none" w:sz="0" w:space="0" w:color="auto"/>
        <w:right w:val="none" w:sz="0" w:space="0" w:color="auto"/>
      </w:divBdr>
      <w:divsChild>
        <w:div w:id="166673102">
          <w:marLeft w:val="0"/>
          <w:marRight w:val="0"/>
          <w:marTop w:val="600"/>
          <w:marBottom w:val="900"/>
          <w:divBdr>
            <w:top w:val="none" w:sz="0" w:space="0" w:color="auto"/>
            <w:left w:val="none" w:sz="0" w:space="0" w:color="auto"/>
            <w:bottom w:val="none" w:sz="0" w:space="0" w:color="auto"/>
            <w:right w:val="none" w:sz="0" w:space="0" w:color="auto"/>
          </w:divBdr>
          <w:divsChild>
            <w:div w:id="147016549">
              <w:marLeft w:val="0"/>
              <w:marRight w:val="0"/>
              <w:marTop w:val="0"/>
              <w:marBottom w:val="0"/>
              <w:divBdr>
                <w:top w:val="none" w:sz="0" w:space="0" w:color="auto"/>
                <w:left w:val="none" w:sz="0" w:space="0" w:color="auto"/>
                <w:bottom w:val="none" w:sz="0" w:space="0" w:color="auto"/>
                <w:right w:val="single" w:sz="6" w:space="30" w:color="EEEEEE"/>
              </w:divBdr>
              <w:divsChild>
                <w:div w:id="17216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26472;&#38639;&#29605;&#20132;&#25509;\&#24320;&#25918;&#24335;&#20135;&#21697;&#26376;&#24230;&#25259;&#38706;\201712\201801\2018&#24180;1&#26376;&#36164;&#20135;&#27719;&#24635;&#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perspective val="30"/>
    </c:view3D>
    <c:floor>
      <c:thickness val="0"/>
    </c:floor>
    <c:sideWall>
      <c:thickness val="0"/>
    </c:sideWall>
    <c:backWall>
      <c:thickness val="0"/>
    </c:backWall>
    <c:plotArea>
      <c:layout/>
      <c:pie3DChart>
        <c:varyColors val="1"/>
        <c:ser>
          <c:idx val="0"/>
          <c:order val="0"/>
          <c:dPt>
            <c:idx val="0"/>
            <c:bubble3D val="0"/>
          </c:dPt>
          <c:dPt>
            <c:idx val="1"/>
            <c:bubble3D val="0"/>
          </c:dPt>
          <c:dLbls>
            <c:showLegendKey val="0"/>
            <c:showVal val="1"/>
            <c:showCatName val="0"/>
            <c:showSerName val="0"/>
            <c:showPercent val="0"/>
            <c:showBubbleSize val="0"/>
            <c:showLeaderLines val="1"/>
          </c:dLbls>
          <c:cat>
            <c:strRef>
              <c:f>'2018年1月'!$A$264:$A$265</c:f>
              <c:strCache>
                <c:ptCount val="2"/>
                <c:pt idx="0">
                  <c:v>现金及债券类</c:v>
                </c:pt>
                <c:pt idx="1">
                  <c:v>融资类</c:v>
                </c:pt>
              </c:strCache>
            </c:strRef>
          </c:cat>
          <c:val>
            <c:numRef>
              <c:f>'2018年1月'!$B$264:$B$265</c:f>
              <c:numCache>
                <c:formatCode>0.00%</c:formatCode>
                <c:ptCount val="2"/>
                <c:pt idx="0">
                  <c:v>0.17630355233060263</c:v>
                </c:pt>
                <c:pt idx="1">
                  <c:v>0.82369644766857797</c:v>
                </c:pt>
              </c:numCache>
            </c:numRef>
          </c:val>
        </c:ser>
        <c:dLbls>
          <c:showLegendKey val="0"/>
          <c:showVal val="0"/>
          <c:showCatName val="0"/>
          <c:showSerName val="0"/>
          <c:showPercent val="0"/>
          <c:showBubbleSize val="0"/>
          <c:showLeaderLines val="1"/>
        </c:dLbls>
      </c:pie3DChart>
      <c:spPr>
        <a:noFill/>
        <a:ln w="25400">
          <a:noFill/>
        </a:ln>
      </c:spPr>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3227835458620772"/>
          <c:y val="0.41884816753926701"/>
        </c:manualLayout>
      </c:layout>
      <c:overlay val="0"/>
      <c:txPr>
        <a:bodyPr/>
        <a:lstStyle/>
        <a:p>
          <a:pPr>
            <a:defRPr sz="1100"/>
          </a:pPr>
          <a:endParaRPr lang="zh-CN"/>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'2018年1月'!$A$273</c:f>
              <c:strCache>
                <c:ptCount val="1"/>
                <c:pt idx="0">
                  <c:v>无评级</c:v>
                </c:pt>
              </c:strCache>
            </c:strRef>
          </c:tx>
          <c:val>
            <c:numRef>
              <c:f>'2018年1月'!$B$273</c:f>
              <c:numCache>
                <c:formatCode>0.00%</c:formatCode>
                <c:ptCount val="1"/>
                <c:pt idx="0">
                  <c:v>1</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'2018年1月'!$B$280</c:f>
              <c:strCache>
                <c:ptCount val="1"/>
                <c:pt idx="0">
                  <c:v>1月各行业</c:v>
                </c:pt>
              </c:strCache>
            </c:strRef>
          </c:tx>
          <c:invertIfNegative val="0"/>
          <c:cat>
            <c:strRef>
              <c:f>'2018年1月'!$A$281:$A$282</c:f>
              <c:strCache>
                <c:ptCount val="2"/>
                <c:pt idx="0">
                  <c:v>租赁和商务服务业</c:v>
                </c:pt>
                <c:pt idx="1">
                  <c:v>电力、热力、燃气及水生产和供应业</c:v>
                </c:pt>
              </c:strCache>
            </c:strRef>
          </c:cat>
          <c:val>
            <c:numRef>
              <c:f>'2018年1月'!$B$281:$B$282</c:f>
              <c:numCache>
                <c:formatCode>0.00%</c:formatCode>
                <c:ptCount val="2"/>
                <c:pt idx="0">
                  <c:v>1</c:v>
                </c:pt>
                <c:pt idx="1">
                  <c:v>0</c:v>
                </c:pt>
              </c:numCache>
            </c:numRef>
          </c:val>
        </c:ser>
        <c:ser>
          <c:idx val="1"/>
          <c:order val="1"/>
          <c:tx>
            <c:strRef>
              <c:f>'2018年1月'!$C$280</c:f>
              <c:strCache>
                <c:ptCount val="1"/>
                <c:pt idx="0">
                  <c:v>12月各行业</c:v>
                </c:pt>
              </c:strCache>
            </c:strRef>
          </c:tx>
          <c:invertIfNegative val="0"/>
          <c:cat>
            <c:strRef>
              <c:f>'2018年1月'!$A$281:$A$282</c:f>
              <c:strCache>
                <c:ptCount val="2"/>
                <c:pt idx="0">
                  <c:v>租赁和商务服务业</c:v>
                </c:pt>
                <c:pt idx="1">
                  <c:v>电力、热力、燃气及水生产和供应业</c:v>
                </c:pt>
              </c:strCache>
            </c:strRef>
          </c:cat>
          <c:val>
            <c:numRef>
              <c:f>'2018年1月'!$C$281:$C$282</c:f>
              <c:numCache>
                <c:formatCode>0.00%</c:formatCode>
                <c:ptCount val="2"/>
                <c:pt idx="0">
                  <c:v>0.99866315402436201</c:v>
                </c:pt>
                <c:pt idx="1">
                  <c:v>1.3368459756380377E-3</c:v>
                </c:pt>
              </c:numCache>
            </c:numRef>
          </c:val>
        </c:ser>
        <c:ser>
          <c:idx val="2"/>
          <c:order val="2"/>
          <c:tx>
            <c:strRef>
              <c:f>'2018年1月'!$D$280</c:f>
              <c:strCache>
                <c:ptCount val="1"/>
                <c:pt idx="0">
                  <c:v>行业变化</c:v>
                </c:pt>
              </c:strCache>
            </c:strRef>
          </c:tx>
          <c:invertIfNegative val="0"/>
          <c:cat>
            <c:strRef>
              <c:f>'2018年1月'!$A$281:$A$282</c:f>
              <c:strCache>
                <c:ptCount val="2"/>
                <c:pt idx="0">
                  <c:v>租赁和商务服务业</c:v>
                </c:pt>
                <c:pt idx="1">
                  <c:v>电力、热力、燃气及水生产和供应业</c:v>
                </c:pt>
              </c:strCache>
            </c:strRef>
          </c:cat>
          <c:val>
            <c:numRef>
              <c:f>'2018年1月'!$D$281:$D$283</c:f>
              <c:numCache>
                <c:formatCode>0.00%</c:formatCode>
                <c:ptCount val="3"/>
                <c:pt idx="0">
                  <c:v>1.3368459756379902E-3</c:v>
                </c:pt>
                <c:pt idx="1">
                  <c:v>-1.3368459756380377E-3</c:v>
                </c:pt>
                <c:pt idx="2">
                  <c:v>0</c:v>
                </c:pt>
              </c:numCache>
            </c:numRef>
          </c:val>
        </c:ser>
        <c:dLbls>
          <c:showLegendKey val="0"/>
          <c:showVal val="0"/>
          <c:showCatName val="0"/>
          <c:showSerName val="0"/>
          <c:showPercent val="0"/>
          <c:showBubbleSize val="0"/>
        </c:dLbls>
        <c:gapWidth val="150"/>
        <c:axId val="112407680"/>
        <c:axId val="112409216"/>
      </c:barChart>
      <c:catAx>
        <c:axId val="112407680"/>
        <c:scaling>
          <c:orientation val="minMax"/>
        </c:scaling>
        <c:delete val="0"/>
        <c:axPos val="l"/>
        <c:numFmt formatCode="General" sourceLinked="1"/>
        <c:majorTickMark val="out"/>
        <c:minorTickMark val="none"/>
        <c:tickLblPos val="nextTo"/>
        <c:crossAx val="112409216"/>
        <c:crosses val="autoZero"/>
        <c:auto val="1"/>
        <c:lblAlgn val="ctr"/>
        <c:lblOffset val="100"/>
        <c:noMultiLvlLbl val="0"/>
      </c:catAx>
      <c:valAx>
        <c:axId val="112409216"/>
        <c:scaling>
          <c:orientation val="minMax"/>
          <c:max val="1"/>
          <c:min val="-1"/>
        </c:scaling>
        <c:delete val="0"/>
        <c:axPos val="b"/>
        <c:majorGridlines/>
        <c:numFmt formatCode="0%" sourceLinked="0"/>
        <c:majorTickMark val="out"/>
        <c:minorTickMark val="none"/>
        <c:tickLblPos val="nextTo"/>
        <c:crossAx val="112407680"/>
        <c:crosses val="autoZero"/>
        <c:crossBetween val="between"/>
        <c:majorUnit val="0.2"/>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杨雯玥</dc:creator>
  <cp:lastModifiedBy>admin</cp:lastModifiedBy>
  <cp:revision>6</cp:revision>
  <dcterms:created xsi:type="dcterms:W3CDTF">2018-02-02T14:14:00Z</dcterms:created>
  <dcterms:modified xsi:type="dcterms:W3CDTF">2018-02-06T02:42:00Z</dcterms:modified>
</cp:coreProperties>
</file>