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94A" w:rsidRDefault="000560D3" w:rsidP="00B3794A">
      <w:pPr>
        <w:jc w:val="center"/>
        <w:rPr>
          <w:b/>
          <w:color w:val="000000"/>
          <w:sz w:val="32"/>
          <w:szCs w:val="32"/>
        </w:rPr>
      </w:pPr>
      <w:bookmarkStart w:id="0" w:name="_GoBack"/>
      <w:bookmarkEnd w:id="0"/>
      <w:r w:rsidRPr="009378DF">
        <w:rPr>
          <w:rFonts w:hint="eastAsia"/>
          <w:b/>
          <w:color w:val="000000"/>
          <w:sz w:val="32"/>
          <w:szCs w:val="32"/>
        </w:rPr>
        <w:t xml:space="preserve"> </w:t>
      </w:r>
      <w:r w:rsidR="00B3794A" w:rsidRPr="009378DF">
        <w:rPr>
          <w:rFonts w:hint="eastAsia"/>
          <w:b/>
          <w:color w:val="000000"/>
          <w:sz w:val="32"/>
          <w:szCs w:val="32"/>
        </w:rPr>
        <w:t>“乾元—满溢”</w:t>
      </w:r>
      <w:r w:rsidR="00B3794A">
        <w:rPr>
          <w:rFonts w:hint="eastAsia"/>
          <w:b/>
          <w:color w:val="000000"/>
          <w:sz w:val="32"/>
          <w:szCs w:val="32"/>
        </w:rPr>
        <w:t>18</w:t>
      </w:r>
      <w:r w:rsidR="00B3794A" w:rsidRPr="009378DF">
        <w:rPr>
          <w:rFonts w:hint="eastAsia"/>
          <w:b/>
          <w:color w:val="000000"/>
          <w:sz w:val="32"/>
          <w:szCs w:val="32"/>
        </w:rPr>
        <w:t>0</w:t>
      </w:r>
      <w:r w:rsidR="00B3794A" w:rsidRPr="009378DF">
        <w:rPr>
          <w:rFonts w:hint="eastAsia"/>
          <w:b/>
          <w:color w:val="000000"/>
          <w:sz w:val="32"/>
          <w:szCs w:val="32"/>
        </w:rPr>
        <w:t>天开放式资产组合型人民币理财产品</w:t>
      </w:r>
    </w:p>
    <w:p w:rsidR="00B3794A" w:rsidRPr="00EE774A" w:rsidRDefault="00B3794A" w:rsidP="00B3794A">
      <w:pPr>
        <w:jc w:val="center"/>
        <w:rPr>
          <w:b/>
          <w:color w:val="000000"/>
          <w:sz w:val="32"/>
          <w:szCs w:val="32"/>
        </w:rPr>
      </w:pPr>
      <w:r w:rsidRPr="009378DF">
        <w:rPr>
          <w:rFonts w:hint="eastAsia"/>
          <w:b/>
          <w:color w:val="000000"/>
          <w:sz w:val="32"/>
          <w:szCs w:val="32"/>
        </w:rPr>
        <w:t>（机构版）</w:t>
      </w:r>
      <w:r w:rsidRPr="00EE774A">
        <w:rPr>
          <w:rFonts w:hint="eastAsia"/>
          <w:b/>
          <w:color w:val="000000"/>
          <w:sz w:val="32"/>
          <w:szCs w:val="32"/>
        </w:rPr>
        <w:t>月度投资管理报告</w:t>
      </w:r>
    </w:p>
    <w:p w:rsidR="00B3794A" w:rsidRPr="00EE774A" w:rsidRDefault="00B3794A" w:rsidP="00B3794A">
      <w:pPr>
        <w:spacing w:line="480" w:lineRule="exact"/>
        <w:ind w:firstLineChars="200" w:firstLine="420"/>
        <w:jc w:val="center"/>
        <w:rPr>
          <w:rFonts w:ascii="宋体" w:hAnsi="宋体"/>
          <w:color w:val="000000"/>
          <w:szCs w:val="21"/>
        </w:rPr>
      </w:pPr>
      <w:r w:rsidRPr="00EE774A">
        <w:rPr>
          <w:rFonts w:ascii="宋体" w:hAnsi="宋体" w:hint="eastAsia"/>
          <w:color w:val="000000"/>
          <w:szCs w:val="21"/>
        </w:rPr>
        <w:t>报告日：201</w:t>
      </w:r>
      <w:r w:rsidR="00A17003">
        <w:rPr>
          <w:rFonts w:ascii="宋体" w:hAnsi="宋体" w:hint="eastAsia"/>
          <w:color w:val="000000"/>
          <w:szCs w:val="21"/>
        </w:rPr>
        <w:t>8</w:t>
      </w:r>
      <w:r w:rsidRPr="00EE774A">
        <w:rPr>
          <w:rFonts w:ascii="宋体" w:hAnsi="宋体" w:hint="eastAsia"/>
          <w:color w:val="000000"/>
          <w:szCs w:val="21"/>
        </w:rPr>
        <w:t>年</w:t>
      </w:r>
      <w:r w:rsidR="000F0F2A">
        <w:rPr>
          <w:rFonts w:ascii="宋体" w:hAnsi="宋体" w:hint="eastAsia"/>
          <w:color w:val="000000"/>
          <w:szCs w:val="21"/>
        </w:rPr>
        <w:t>1</w:t>
      </w:r>
      <w:r>
        <w:rPr>
          <w:rFonts w:ascii="宋体" w:hAnsi="宋体" w:hint="eastAsia"/>
          <w:color w:val="000000"/>
          <w:szCs w:val="21"/>
        </w:rPr>
        <w:t>月</w:t>
      </w:r>
      <w:r w:rsidR="000F0F2A">
        <w:rPr>
          <w:rFonts w:ascii="宋体" w:hAnsi="宋体" w:hint="eastAsia"/>
          <w:color w:val="000000"/>
          <w:szCs w:val="21"/>
        </w:rPr>
        <w:t>3</w:t>
      </w:r>
      <w:r w:rsidR="00A17003">
        <w:rPr>
          <w:rFonts w:ascii="宋体" w:hAnsi="宋体" w:hint="eastAsia"/>
          <w:color w:val="000000"/>
          <w:szCs w:val="21"/>
        </w:rPr>
        <w:t>1</w:t>
      </w:r>
      <w:r>
        <w:rPr>
          <w:rFonts w:ascii="宋体" w:hAnsi="宋体" w:hint="eastAsia"/>
          <w:color w:val="000000"/>
          <w:szCs w:val="21"/>
        </w:rPr>
        <w:t xml:space="preserve">日    </w:t>
      </w:r>
    </w:p>
    <w:p w:rsidR="00B3794A" w:rsidRPr="000A55B8" w:rsidRDefault="00B3794A" w:rsidP="00A17003">
      <w:pPr>
        <w:ind w:firstLine="420"/>
        <w:rPr>
          <w:rFonts w:ascii="宋体" w:hAnsi="宋体"/>
          <w:color w:val="000000"/>
          <w:sz w:val="28"/>
          <w:szCs w:val="28"/>
        </w:rPr>
      </w:pPr>
      <w:r w:rsidRPr="000A55B8">
        <w:rPr>
          <w:rFonts w:ascii="宋体" w:hAnsi="宋体" w:hint="eastAsia"/>
          <w:color w:val="000000"/>
          <w:sz w:val="28"/>
          <w:szCs w:val="28"/>
        </w:rPr>
        <w:t>“乾元—满溢”</w:t>
      </w:r>
      <w:r>
        <w:rPr>
          <w:rFonts w:ascii="宋体" w:hAnsi="宋体" w:hint="eastAsia"/>
          <w:color w:val="000000"/>
          <w:sz w:val="28"/>
          <w:szCs w:val="28"/>
        </w:rPr>
        <w:t>18</w:t>
      </w:r>
      <w:r w:rsidRPr="000A55B8">
        <w:rPr>
          <w:rFonts w:ascii="宋体" w:hAnsi="宋体" w:hint="eastAsia"/>
          <w:color w:val="000000"/>
          <w:sz w:val="28"/>
          <w:szCs w:val="28"/>
        </w:rPr>
        <w:t>0天开放式资产组合型人民币理财产品（机构版）</w:t>
      </w:r>
      <w:r w:rsidRPr="00EE774A">
        <w:rPr>
          <w:rFonts w:ascii="宋体" w:hAnsi="宋体" w:hint="eastAsia"/>
          <w:color w:val="000000"/>
          <w:sz w:val="28"/>
          <w:szCs w:val="28"/>
        </w:rPr>
        <w:t>于201</w:t>
      </w:r>
      <w:r>
        <w:rPr>
          <w:rFonts w:ascii="宋体" w:hAnsi="宋体" w:hint="eastAsia"/>
          <w:color w:val="000000"/>
          <w:sz w:val="28"/>
          <w:szCs w:val="28"/>
        </w:rPr>
        <w:t>7</w:t>
      </w:r>
      <w:r w:rsidRPr="00EE774A">
        <w:rPr>
          <w:rFonts w:ascii="宋体" w:hAnsi="宋体" w:hint="eastAsia"/>
          <w:color w:val="000000"/>
          <w:sz w:val="28"/>
          <w:szCs w:val="28"/>
        </w:rPr>
        <w:t>年</w:t>
      </w:r>
      <w:r>
        <w:rPr>
          <w:rFonts w:ascii="宋体" w:hAnsi="宋体" w:hint="eastAsia"/>
          <w:color w:val="000000"/>
          <w:sz w:val="28"/>
          <w:szCs w:val="28"/>
        </w:rPr>
        <w:t>9</w:t>
      </w:r>
      <w:r w:rsidRPr="00EE774A">
        <w:rPr>
          <w:rFonts w:ascii="宋体" w:hAnsi="宋体" w:hint="eastAsia"/>
          <w:color w:val="000000"/>
          <w:sz w:val="28"/>
          <w:szCs w:val="28"/>
        </w:rPr>
        <w:t>月</w:t>
      </w:r>
      <w:r>
        <w:rPr>
          <w:rFonts w:ascii="宋体" w:hAnsi="宋体" w:hint="eastAsia"/>
          <w:color w:val="000000"/>
          <w:sz w:val="28"/>
          <w:szCs w:val="28"/>
        </w:rPr>
        <w:t>15</w:t>
      </w:r>
      <w:r w:rsidRPr="00EE774A">
        <w:rPr>
          <w:rFonts w:ascii="宋体" w:hAnsi="宋体" w:hint="eastAsia"/>
          <w:color w:val="000000"/>
          <w:sz w:val="28"/>
          <w:szCs w:val="28"/>
        </w:rPr>
        <w:t>日正式成立。截至报告日，本产品规模为</w:t>
      </w:r>
      <w:r w:rsidRPr="00EE774A">
        <w:rPr>
          <w:rFonts w:ascii="宋体" w:hAnsi="宋体" w:cs="宋体" w:hint="eastAsia"/>
          <w:bCs/>
          <w:color w:val="000000"/>
          <w:kern w:val="0"/>
          <w:sz w:val="28"/>
          <w:szCs w:val="28"/>
        </w:rPr>
        <w:t xml:space="preserve">               </w:t>
      </w:r>
      <w:r w:rsidRPr="00000D4B">
        <w:rPr>
          <w:rFonts w:ascii="宋体" w:hAnsi="宋体" w:cs="宋体" w:hint="eastAsia"/>
          <w:bCs/>
          <w:color w:val="000000"/>
          <w:kern w:val="0"/>
          <w:sz w:val="28"/>
          <w:szCs w:val="28"/>
        </w:rPr>
        <w:t xml:space="preserve">   </w:t>
      </w:r>
      <w:r w:rsidRPr="0005385D">
        <w:rPr>
          <w:rFonts w:ascii="宋体" w:hAnsi="宋体" w:cs="宋体" w:hint="eastAsia"/>
          <w:bCs/>
          <w:color w:val="000000"/>
          <w:kern w:val="0"/>
          <w:sz w:val="28"/>
          <w:szCs w:val="28"/>
        </w:rPr>
        <w:t xml:space="preserve">    </w:t>
      </w:r>
      <w:r w:rsidRPr="005D1270">
        <w:rPr>
          <w:rFonts w:ascii="宋体" w:hAnsi="宋体" w:cs="宋体" w:hint="eastAsia"/>
          <w:bCs/>
          <w:color w:val="000000"/>
          <w:kern w:val="0"/>
          <w:sz w:val="28"/>
          <w:szCs w:val="28"/>
        </w:rPr>
        <w:t xml:space="preserve">    </w:t>
      </w:r>
      <w:r w:rsidRPr="00AC15F3">
        <w:rPr>
          <w:rFonts w:ascii="宋体" w:hAnsi="宋体" w:cs="宋体" w:hint="eastAsia"/>
          <w:bCs/>
          <w:color w:val="000000"/>
          <w:kern w:val="0"/>
          <w:sz w:val="28"/>
          <w:szCs w:val="28"/>
        </w:rPr>
        <w:t xml:space="preserve">   </w:t>
      </w:r>
      <w:r w:rsidRPr="00CF768F">
        <w:rPr>
          <w:rFonts w:ascii="宋体" w:hAnsi="宋体" w:cs="宋体" w:hint="eastAsia"/>
          <w:bCs/>
          <w:color w:val="000000"/>
          <w:kern w:val="0"/>
          <w:sz w:val="28"/>
          <w:szCs w:val="28"/>
        </w:rPr>
        <w:t xml:space="preserve">    </w:t>
      </w:r>
      <w:r w:rsidRPr="0035334D">
        <w:rPr>
          <w:rFonts w:ascii="宋体" w:hAnsi="宋体" w:cs="宋体" w:hint="eastAsia"/>
          <w:bCs/>
          <w:color w:val="000000"/>
          <w:kern w:val="0"/>
          <w:sz w:val="28"/>
          <w:szCs w:val="28"/>
        </w:rPr>
        <w:t xml:space="preserve">    </w:t>
      </w:r>
      <w:r w:rsidRPr="00162740">
        <w:rPr>
          <w:rFonts w:ascii="宋体" w:hAnsi="宋体" w:cs="宋体" w:hint="eastAsia"/>
          <w:bCs/>
          <w:color w:val="000000"/>
          <w:kern w:val="0"/>
          <w:sz w:val="28"/>
          <w:szCs w:val="28"/>
        </w:rPr>
        <w:t xml:space="preserve">    </w:t>
      </w:r>
      <w:r w:rsidR="00A17003" w:rsidRPr="00A17003">
        <w:rPr>
          <w:rFonts w:ascii="宋体" w:hAnsi="宋体" w:hint="eastAsia"/>
          <w:color w:val="000000"/>
          <w:sz w:val="28"/>
          <w:szCs w:val="28"/>
        </w:rPr>
        <w:t>1,489,227,000.00</w:t>
      </w:r>
      <w:r w:rsidRPr="000F0F2A">
        <w:rPr>
          <w:rFonts w:ascii="宋体" w:hAnsi="宋体" w:hint="eastAsia"/>
          <w:color w:val="000000"/>
          <w:sz w:val="28"/>
          <w:szCs w:val="28"/>
        </w:rPr>
        <w:t xml:space="preserve">元。  </w:t>
      </w:r>
    </w:p>
    <w:p w:rsidR="00B3794A" w:rsidRPr="00EE774A" w:rsidRDefault="00B3794A" w:rsidP="00B3794A">
      <w:pPr>
        <w:ind w:firstLineChars="200" w:firstLine="562"/>
        <w:outlineLvl w:val="0"/>
        <w:rPr>
          <w:rFonts w:ascii="宋体" w:hAnsi="宋体"/>
          <w:b/>
          <w:color w:val="000000"/>
          <w:sz w:val="28"/>
          <w:szCs w:val="28"/>
        </w:rPr>
      </w:pPr>
      <w:r w:rsidRPr="00EE774A">
        <w:rPr>
          <w:rFonts w:ascii="宋体" w:hAnsi="宋体" w:hint="eastAsia"/>
          <w:b/>
          <w:color w:val="000000"/>
          <w:sz w:val="28"/>
          <w:szCs w:val="28"/>
        </w:rPr>
        <w:t>一、报告期投资者实际收益率</w:t>
      </w:r>
    </w:p>
    <w:p w:rsidR="00A17003" w:rsidRPr="00A17003" w:rsidRDefault="00A17003" w:rsidP="00A17003">
      <w:pPr>
        <w:ind w:firstLine="420"/>
        <w:rPr>
          <w:rFonts w:ascii="宋体" w:hAnsi="宋体"/>
          <w:color w:val="000000"/>
          <w:sz w:val="28"/>
          <w:szCs w:val="28"/>
        </w:rPr>
      </w:pPr>
      <w:r w:rsidRPr="00A17003">
        <w:rPr>
          <w:rFonts w:ascii="宋体" w:hAnsi="宋体" w:hint="eastAsia"/>
          <w:color w:val="000000"/>
          <w:sz w:val="28"/>
          <w:szCs w:val="28"/>
        </w:rPr>
        <w:t>中国建设银行于2018年1月22日（含）起，调整“乾元—满溢”180天开放式资产组合型人民币理财产品（机构版）客户预期年化收益率，具体如下表：</w:t>
      </w:r>
    </w:p>
    <w:tbl>
      <w:tblPr>
        <w:tblW w:w="5000" w:type="pct"/>
        <w:tblCellMar>
          <w:top w:w="15" w:type="dxa"/>
          <w:left w:w="15" w:type="dxa"/>
          <w:bottom w:w="15" w:type="dxa"/>
          <w:right w:w="15" w:type="dxa"/>
        </w:tblCellMar>
        <w:tblLook w:val="04A0" w:firstRow="1" w:lastRow="0" w:firstColumn="1" w:lastColumn="0" w:noHBand="0" w:noVBand="1"/>
      </w:tblPr>
      <w:tblGrid>
        <w:gridCol w:w="1087"/>
        <w:gridCol w:w="3653"/>
        <w:gridCol w:w="3653"/>
        <w:gridCol w:w="36"/>
      </w:tblGrid>
      <w:tr w:rsidR="00A17003" w:rsidRPr="00A17003" w:rsidTr="00A17003">
        <w:trPr>
          <w:trHeight w:val="460"/>
        </w:trPr>
        <w:tc>
          <w:tcPr>
            <w:tcW w:w="64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7003" w:rsidRPr="00A17003" w:rsidRDefault="00A17003" w:rsidP="00A17003">
            <w:r w:rsidRPr="00A17003">
              <w:rPr>
                <w:rFonts w:hint="eastAsia"/>
              </w:rPr>
              <w:t>档期设置</w:t>
            </w:r>
          </w:p>
        </w:tc>
        <w:tc>
          <w:tcPr>
            <w:tcW w:w="21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7003" w:rsidRPr="00A17003" w:rsidRDefault="00A17003" w:rsidP="00A17003">
            <w:r w:rsidRPr="00A17003">
              <w:rPr>
                <w:rFonts w:hint="eastAsia"/>
              </w:rPr>
              <w:t>客户预期年化收益率（调整前）</w:t>
            </w:r>
          </w:p>
        </w:tc>
        <w:tc>
          <w:tcPr>
            <w:tcW w:w="21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7003" w:rsidRPr="00A17003" w:rsidRDefault="00A17003" w:rsidP="00A17003">
            <w:r w:rsidRPr="00A17003">
              <w:rPr>
                <w:rFonts w:hint="eastAsia"/>
              </w:rPr>
              <w:t>客户预期年化收益率（调整后）</w:t>
            </w:r>
          </w:p>
        </w:tc>
        <w:tc>
          <w:tcPr>
            <w:tcW w:w="6" w:type="dxa"/>
            <w:vAlign w:val="center"/>
            <w:hideMark/>
          </w:tcPr>
          <w:p w:rsidR="00A17003" w:rsidRPr="00A17003" w:rsidRDefault="00A17003" w:rsidP="00A17003"/>
        </w:tc>
      </w:tr>
      <w:tr w:rsidR="00A17003" w:rsidRPr="00A17003" w:rsidTr="00A17003">
        <w:trPr>
          <w:trHeight w:val="4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7003" w:rsidRPr="00A17003" w:rsidRDefault="00A17003" w:rsidP="00A17003"/>
        </w:tc>
        <w:tc>
          <w:tcPr>
            <w:tcW w:w="0" w:type="auto"/>
            <w:vMerge/>
            <w:tcBorders>
              <w:top w:val="single" w:sz="8" w:space="0" w:color="auto"/>
              <w:left w:val="nil"/>
              <w:bottom w:val="single" w:sz="8" w:space="0" w:color="auto"/>
              <w:right w:val="single" w:sz="8" w:space="0" w:color="auto"/>
            </w:tcBorders>
            <w:vAlign w:val="center"/>
            <w:hideMark/>
          </w:tcPr>
          <w:p w:rsidR="00A17003" w:rsidRPr="00A17003" w:rsidRDefault="00A17003" w:rsidP="00A17003"/>
        </w:tc>
        <w:tc>
          <w:tcPr>
            <w:tcW w:w="0" w:type="auto"/>
            <w:vMerge/>
            <w:tcBorders>
              <w:top w:val="single" w:sz="8" w:space="0" w:color="auto"/>
              <w:left w:val="nil"/>
              <w:bottom w:val="single" w:sz="8" w:space="0" w:color="auto"/>
              <w:right w:val="single" w:sz="8" w:space="0" w:color="auto"/>
            </w:tcBorders>
            <w:vAlign w:val="center"/>
            <w:hideMark/>
          </w:tcPr>
          <w:p w:rsidR="00A17003" w:rsidRPr="00A17003" w:rsidRDefault="00A17003" w:rsidP="00A17003"/>
        </w:tc>
        <w:tc>
          <w:tcPr>
            <w:tcW w:w="6" w:type="dxa"/>
            <w:vAlign w:val="center"/>
            <w:hideMark/>
          </w:tcPr>
          <w:p w:rsidR="00A17003" w:rsidRPr="00A17003" w:rsidRDefault="00A17003" w:rsidP="00A17003"/>
        </w:tc>
      </w:tr>
      <w:tr w:rsidR="00A17003" w:rsidRPr="00A17003" w:rsidTr="00A17003">
        <w:trPr>
          <w:trHeight w:val="312"/>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7003" w:rsidRPr="00A17003" w:rsidRDefault="00A17003" w:rsidP="00A17003">
            <w:r w:rsidRPr="00A17003">
              <w:rPr>
                <w:rFonts w:hint="eastAsia"/>
              </w:rPr>
              <w:t>180</w:t>
            </w:r>
            <w:r w:rsidRPr="00A17003">
              <w:rPr>
                <w:rFonts w:hint="eastAsia"/>
              </w:rPr>
              <w:t>天</w:t>
            </w: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7003" w:rsidRPr="00A17003" w:rsidRDefault="00A17003" w:rsidP="00A17003">
            <w:r w:rsidRPr="00A17003">
              <w:rPr>
                <w:rFonts w:hint="eastAsia"/>
              </w:rPr>
              <w:t>4.75%</w:t>
            </w: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7003" w:rsidRPr="00A17003" w:rsidRDefault="00A17003" w:rsidP="00A17003">
            <w:r w:rsidRPr="00A17003">
              <w:rPr>
                <w:rFonts w:hint="eastAsia"/>
              </w:rPr>
              <w:t>4.90%</w:t>
            </w:r>
          </w:p>
        </w:tc>
        <w:tc>
          <w:tcPr>
            <w:tcW w:w="6" w:type="dxa"/>
            <w:vAlign w:val="center"/>
            <w:hideMark/>
          </w:tcPr>
          <w:p w:rsidR="00A17003" w:rsidRPr="00A17003" w:rsidRDefault="00A17003" w:rsidP="00A17003"/>
        </w:tc>
      </w:tr>
    </w:tbl>
    <w:p w:rsidR="00A17003" w:rsidRPr="00A17003" w:rsidRDefault="00A17003" w:rsidP="00A17003">
      <w:pPr>
        <w:ind w:firstLine="420"/>
        <w:rPr>
          <w:rFonts w:ascii="宋体" w:hAnsi="宋体"/>
          <w:color w:val="000000"/>
          <w:sz w:val="28"/>
          <w:szCs w:val="28"/>
        </w:rPr>
      </w:pPr>
      <w:r w:rsidRPr="00A17003">
        <w:rPr>
          <w:rFonts w:ascii="宋体" w:hAnsi="宋体" w:hint="eastAsia"/>
          <w:color w:val="000000"/>
          <w:sz w:val="28"/>
          <w:szCs w:val="28"/>
        </w:rPr>
        <w:t>新客户预期年化收益率于2018年1月22日（含）起执行。对于2018年1月22日（不含）前已经购买成功且未赎回的存量投资本金，其中封闭期内的份额仍按照购买确认日当日的客户预期年化收益率计算投资收益，非封闭期内的份额从2018年1月22日（含）起按调整后的预期年化收益率计算投资收益。2018年1月22日（含）后购买的部分自动执行调整后的客户预期年化收益率。但前述情形下的最终投资收益均以我行最终支付的实际年化收益率为准。</w:t>
      </w:r>
    </w:p>
    <w:p w:rsidR="00B3794A" w:rsidRPr="00EE774A" w:rsidRDefault="00B3794A" w:rsidP="00B3794A">
      <w:pPr>
        <w:ind w:firstLineChars="200" w:firstLine="560"/>
        <w:jc w:val="left"/>
        <w:rPr>
          <w:rFonts w:ascii="宋体" w:hAnsi="宋体"/>
          <w:color w:val="000000"/>
          <w:sz w:val="28"/>
          <w:szCs w:val="28"/>
        </w:rPr>
      </w:pPr>
      <w:r w:rsidRPr="009E0E2D">
        <w:rPr>
          <w:rFonts w:ascii="宋体" w:hAnsi="宋体" w:hint="eastAsia"/>
          <w:color w:val="000000"/>
          <w:sz w:val="28"/>
          <w:szCs w:val="28"/>
        </w:rPr>
        <w:t>相关</w:t>
      </w:r>
      <w:r w:rsidRPr="00EE774A">
        <w:rPr>
          <w:rFonts w:ascii="宋体" w:hAnsi="宋体" w:hint="eastAsia"/>
          <w:color w:val="000000"/>
          <w:sz w:val="28"/>
          <w:szCs w:val="28"/>
        </w:rPr>
        <w:t>收益及计算方法，请具体查阅对应的收益率调整公告及产品说明书。</w:t>
      </w:r>
    </w:p>
    <w:p w:rsidR="00B3794A" w:rsidRPr="00EE774A" w:rsidRDefault="00B3794A" w:rsidP="00B3794A">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t>二、产品投资组合详细情况</w:t>
      </w:r>
    </w:p>
    <w:p w:rsidR="00B3794A" w:rsidRPr="00EE774A" w:rsidRDefault="00B3794A" w:rsidP="00B3794A">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lastRenderedPageBreak/>
        <w:t>（一）投资组合的基本情况</w:t>
      </w:r>
    </w:p>
    <w:p w:rsidR="00B3794A" w:rsidRPr="00EE774A" w:rsidRDefault="008479F7" w:rsidP="00B3794A">
      <w:pPr>
        <w:jc w:val="center"/>
        <w:rPr>
          <w:rFonts w:ascii="宋体" w:hAnsi="宋体"/>
          <w:color w:val="000000"/>
          <w:sz w:val="28"/>
          <w:szCs w:val="28"/>
        </w:rPr>
      </w:pPr>
      <w:r>
        <w:rPr>
          <w:noProof/>
        </w:rPr>
        <w:drawing>
          <wp:inline distT="0" distB="0" distL="0" distR="0" wp14:anchorId="0C033C28" wp14:editId="4FF6E36B">
            <wp:extent cx="4010025" cy="1724025"/>
            <wp:effectExtent l="38100" t="0" r="9525"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3794A" w:rsidRPr="00EE774A" w:rsidRDefault="00B3794A" w:rsidP="00B3794A">
      <w:pPr>
        <w:spacing w:line="480" w:lineRule="exact"/>
        <w:ind w:firstLineChars="146" w:firstLine="410"/>
        <w:outlineLvl w:val="0"/>
        <w:rPr>
          <w:rFonts w:ascii="宋体" w:hAnsi="宋体"/>
          <w:b/>
          <w:color w:val="000000"/>
          <w:sz w:val="28"/>
          <w:szCs w:val="28"/>
        </w:rPr>
      </w:pPr>
      <w:r>
        <w:rPr>
          <w:rFonts w:ascii="宋体" w:hAnsi="宋体" w:hint="eastAsia"/>
          <w:b/>
          <w:color w:val="000000"/>
          <w:sz w:val="28"/>
          <w:szCs w:val="28"/>
        </w:rPr>
        <w:t xml:space="preserve"> </w:t>
      </w:r>
      <w:r w:rsidRPr="00EE774A">
        <w:rPr>
          <w:rFonts w:ascii="宋体" w:hAnsi="宋体" w:hint="eastAsia"/>
          <w:b/>
          <w:color w:val="000000"/>
          <w:sz w:val="28"/>
          <w:szCs w:val="28"/>
        </w:rPr>
        <w:t>（二）融资类资产的行内评级构成</w:t>
      </w:r>
    </w:p>
    <w:p w:rsidR="00B3794A" w:rsidRPr="00EE774A" w:rsidRDefault="008479F7" w:rsidP="00B3794A">
      <w:pPr>
        <w:jc w:val="center"/>
        <w:rPr>
          <w:rFonts w:ascii="宋体" w:hAnsi="宋体"/>
          <w:color w:val="000000"/>
          <w:sz w:val="28"/>
          <w:szCs w:val="28"/>
        </w:rPr>
      </w:pPr>
      <w:r>
        <w:rPr>
          <w:noProof/>
        </w:rPr>
        <w:drawing>
          <wp:inline distT="0" distB="0" distL="0" distR="0" wp14:anchorId="7A3A267E" wp14:editId="70C05D1E">
            <wp:extent cx="3719512" cy="2162175"/>
            <wp:effectExtent l="0" t="0" r="14605"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3794A" w:rsidRPr="00EE774A" w:rsidRDefault="00B3794A" w:rsidP="00B3794A">
      <w:pPr>
        <w:spacing w:line="480" w:lineRule="exact"/>
        <w:ind w:firstLineChars="200" w:firstLine="562"/>
        <w:outlineLvl w:val="0"/>
        <w:rPr>
          <w:rFonts w:ascii="宋体" w:hAnsi="宋体"/>
          <w:b/>
          <w:color w:val="000000"/>
          <w:sz w:val="28"/>
          <w:szCs w:val="28"/>
        </w:rPr>
      </w:pPr>
      <w:r w:rsidRPr="00C75BE9">
        <w:rPr>
          <w:rFonts w:ascii="宋体" w:hAnsi="宋体" w:hint="eastAsia"/>
          <w:b/>
          <w:color w:val="000000"/>
          <w:sz w:val="28"/>
          <w:szCs w:val="28"/>
        </w:rPr>
        <w:t>（三</w:t>
      </w:r>
      <w:r w:rsidRPr="00C75BE9">
        <w:rPr>
          <w:rFonts w:ascii="宋体" w:hAnsi="宋体"/>
          <w:b/>
          <w:color w:val="000000"/>
          <w:sz w:val="28"/>
          <w:szCs w:val="28"/>
        </w:rPr>
        <w:t>）</w:t>
      </w:r>
      <w:r w:rsidRPr="007F5088">
        <w:rPr>
          <w:rFonts w:ascii="宋体" w:hAnsi="宋体" w:hint="eastAsia"/>
          <w:b/>
          <w:color w:val="000000"/>
          <w:sz w:val="28"/>
          <w:szCs w:val="28"/>
        </w:rPr>
        <w:t>融资类资产的行业占比构成及当月增减变化情况</w:t>
      </w:r>
    </w:p>
    <w:p w:rsidR="00B3794A" w:rsidRPr="005622F6" w:rsidRDefault="008479F7" w:rsidP="00B3794A">
      <w:pPr>
        <w:ind w:right="-58"/>
        <w:jc w:val="center"/>
        <w:rPr>
          <w:rFonts w:ascii="宋体" w:hAnsi="宋体"/>
          <w:color w:val="000000"/>
          <w:sz w:val="28"/>
          <w:szCs w:val="28"/>
        </w:rPr>
      </w:pPr>
      <w:r>
        <w:rPr>
          <w:noProof/>
        </w:rPr>
        <w:drawing>
          <wp:inline distT="0" distB="0" distL="0" distR="0" wp14:anchorId="37564800" wp14:editId="1F17B9AF">
            <wp:extent cx="5274310" cy="2234256"/>
            <wp:effectExtent l="0" t="0" r="21590"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794A" w:rsidRPr="00EE774A" w:rsidRDefault="00B3794A" w:rsidP="00B3794A">
      <w:pPr>
        <w:spacing w:line="480" w:lineRule="exact"/>
        <w:ind w:firstLineChars="200" w:firstLine="562"/>
        <w:outlineLvl w:val="0"/>
        <w:rPr>
          <w:rFonts w:ascii="宋体" w:hAnsi="宋体"/>
          <w:color w:val="000000"/>
          <w:sz w:val="28"/>
          <w:szCs w:val="28"/>
        </w:rPr>
      </w:pPr>
      <w:r w:rsidRPr="00986C29">
        <w:rPr>
          <w:rFonts w:ascii="宋体" w:hAnsi="宋体" w:hint="eastAsia"/>
          <w:b/>
          <w:color w:val="000000"/>
          <w:sz w:val="28"/>
          <w:szCs w:val="28"/>
        </w:rPr>
        <w:t>三、</w:t>
      </w:r>
      <w:r w:rsidRPr="00EE774A">
        <w:rPr>
          <w:rFonts w:ascii="宋体" w:hAnsi="宋体" w:hint="eastAsia"/>
          <w:b/>
          <w:color w:val="000000"/>
          <w:sz w:val="28"/>
          <w:szCs w:val="28"/>
        </w:rPr>
        <w:t>产品整体运作情况</w:t>
      </w:r>
    </w:p>
    <w:p w:rsidR="00B3794A" w:rsidRPr="00EE774A" w:rsidRDefault="00B3794A" w:rsidP="00B3794A">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（1）自本产品成立起至本报告日，产品管理人恪尽职守、勤勉尽责、谨慎管理，忠实履行有关法律、行政法规和相关文件的规定。</w:t>
      </w:r>
    </w:p>
    <w:p w:rsidR="00B3794A" w:rsidRPr="00EE774A" w:rsidRDefault="00B3794A" w:rsidP="00B3794A">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（2）截至本报告日，所有投资资产正常运营，未发现有异常情况或者不利情况。</w:t>
      </w:r>
    </w:p>
    <w:p w:rsidR="00B3794A" w:rsidRPr="00EE774A" w:rsidRDefault="00B3794A" w:rsidP="00B3794A">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lastRenderedPageBreak/>
        <w:t>（3）本产品自成立至本报告日，没有发生涉诉及诉讼等损害投资者利益的情形。</w:t>
      </w:r>
    </w:p>
    <w:p w:rsidR="00B3794A" w:rsidRPr="00EE774A" w:rsidRDefault="00B3794A" w:rsidP="00B3794A">
      <w:pPr>
        <w:spacing w:line="480" w:lineRule="exact"/>
        <w:ind w:right="362" w:firstLineChars="2050" w:firstLine="5740"/>
        <w:jc w:val="right"/>
        <w:rPr>
          <w:rFonts w:ascii="宋体" w:hAnsi="宋体"/>
          <w:color w:val="000000"/>
          <w:sz w:val="28"/>
          <w:szCs w:val="28"/>
        </w:rPr>
      </w:pPr>
      <w:r w:rsidRPr="00EE774A">
        <w:rPr>
          <w:rFonts w:ascii="宋体" w:hAnsi="宋体" w:hint="eastAsia"/>
          <w:color w:val="000000"/>
          <w:sz w:val="28"/>
          <w:szCs w:val="28"/>
        </w:rPr>
        <w:t>中国建设银行</w:t>
      </w:r>
    </w:p>
    <w:p w:rsidR="004E4685" w:rsidRDefault="00B3794A" w:rsidP="00B3794A">
      <w:pPr>
        <w:spacing w:line="480" w:lineRule="exact"/>
        <w:ind w:right="222" w:firstLineChars="200" w:firstLine="560"/>
        <w:jc w:val="right"/>
        <w:rPr>
          <w:rFonts w:ascii="宋体" w:hAnsi="宋体"/>
          <w:color w:val="000000"/>
          <w:sz w:val="28"/>
          <w:szCs w:val="28"/>
        </w:rPr>
      </w:pPr>
      <w:r>
        <w:rPr>
          <w:rFonts w:ascii="宋体" w:hAnsi="宋体" w:hint="eastAsia"/>
          <w:color w:val="000000"/>
          <w:sz w:val="28"/>
          <w:szCs w:val="28"/>
        </w:rPr>
        <w:t>201</w:t>
      </w:r>
      <w:r w:rsidR="008479F7">
        <w:rPr>
          <w:rFonts w:ascii="宋体" w:hAnsi="宋体" w:hint="eastAsia"/>
          <w:color w:val="000000"/>
          <w:sz w:val="28"/>
          <w:szCs w:val="28"/>
        </w:rPr>
        <w:t>8</w:t>
      </w:r>
      <w:r>
        <w:rPr>
          <w:rFonts w:ascii="宋体" w:hAnsi="宋体" w:hint="eastAsia"/>
          <w:color w:val="000000"/>
          <w:sz w:val="28"/>
          <w:szCs w:val="28"/>
        </w:rPr>
        <w:t>年</w:t>
      </w:r>
      <w:r w:rsidR="00221DF8">
        <w:rPr>
          <w:rFonts w:ascii="宋体" w:hAnsi="宋体" w:hint="eastAsia"/>
          <w:color w:val="000000"/>
          <w:sz w:val="28"/>
          <w:szCs w:val="28"/>
        </w:rPr>
        <w:t>2</w:t>
      </w:r>
      <w:r>
        <w:rPr>
          <w:rFonts w:ascii="宋体" w:hAnsi="宋体" w:hint="eastAsia"/>
          <w:color w:val="000000"/>
          <w:sz w:val="28"/>
          <w:szCs w:val="28"/>
        </w:rPr>
        <w:t>月</w:t>
      </w:r>
      <w:r w:rsidR="00BC2873">
        <w:rPr>
          <w:rFonts w:ascii="宋体" w:hAnsi="宋体" w:hint="eastAsia"/>
          <w:color w:val="000000"/>
          <w:sz w:val="28"/>
          <w:szCs w:val="28"/>
        </w:rPr>
        <w:t>6</w:t>
      </w:r>
      <w:r>
        <w:rPr>
          <w:rFonts w:ascii="宋体" w:hAnsi="宋体" w:hint="eastAsia"/>
          <w:color w:val="000000"/>
          <w:sz w:val="28"/>
          <w:szCs w:val="28"/>
        </w:rPr>
        <w:t>日</w:t>
      </w:r>
    </w:p>
    <w:p w:rsidR="0066201C" w:rsidRPr="005E5D8B" w:rsidRDefault="0056720A" w:rsidP="005E5D8B">
      <w:pPr>
        <w:widowControl/>
        <w:jc w:val="left"/>
        <w:rPr>
          <w:rFonts w:ascii="宋体" w:hAnsi="宋体"/>
          <w:color w:val="000000"/>
          <w:sz w:val="28"/>
          <w:szCs w:val="28"/>
        </w:rPr>
      </w:pPr>
    </w:p>
    <w:sectPr w:rsidR="0066201C" w:rsidRPr="005E5D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20A" w:rsidRDefault="0056720A" w:rsidP="00B3794A">
      <w:r>
        <w:separator/>
      </w:r>
    </w:p>
  </w:endnote>
  <w:endnote w:type="continuationSeparator" w:id="0">
    <w:p w:rsidR="0056720A" w:rsidRDefault="0056720A" w:rsidP="00B3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20A" w:rsidRDefault="0056720A" w:rsidP="00B3794A">
      <w:r>
        <w:separator/>
      </w:r>
    </w:p>
  </w:footnote>
  <w:footnote w:type="continuationSeparator" w:id="0">
    <w:p w:rsidR="0056720A" w:rsidRDefault="0056720A" w:rsidP="00B37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EC9"/>
    <w:rsid w:val="000560D3"/>
    <w:rsid w:val="000F0F2A"/>
    <w:rsid w:val="00153C80"/>
    <w:rsid w:val="00221DF8"/>
    <w:rsid w:val="003A4A35"/>
    <w:rsid w:val="003B3EC9"/>
    <w:rsid w:val="004C0ADB"/>
    <w:rsid w:val="004E4685"/>
    <w:rsid w:val="004F3FDF"/>
    <w:rsid w:val="00507509"/>
    <w:rsid w:val="00510BCF"/>
    <w:rsid w:val="0056720A"/>
    <w:rsid w:val="005E5D8B"/>
    <w:rsid w:val="007E684E"/>
    <w:rsid w:val="007F6584"/>
    <w:rsid w:val="008479F7"/>
    <w:rsid w:val="009A6AFC"/>
    <w:rsid w:val="00A17003"/>
    <w:rsid w:val="00A66F45"/>
    <w:rsid w:val="00AD7667"/>
    <w:rsid w:val="00B3794A"/>
    <w:rsid w:val="00BC2873"/>
    <w:rsid w:val="00DF203A"/>
    <w:rsid w:val="00E5724C"/>
    <w:rsid w:val="00F02F82"/>
    <w:rsid w:val="00FC5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94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7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3794A"/>
    <w:rPr>
      <w:sz w:val="18"/>
      <w:szCs w:val="18"/>
    </w:rPr>
  </w:style>
  <w:style w:type="paragraph" w:styleId="a4">
    <w:name w:val="footer"/>
    <w:basedOn w:val="a"/>
    <w:link w:val="Char0"/>
    <w:uiPriority w:val="99"/>
    <w:unhideWhenUsed/>
    <w:rsid w:val="00B37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3794A"/>
    <w:rPr>
      <w:sz w:val="18"/>
      <w:szCs w:val="18"/>
    </w:rPr>
  </w:style>
  <w:style w:type="paragraph" w:styleId="a5">
    <w:name w:val="Balloon Text"/>
    <w:basedOn w:val="a"/>
    <w:link w:val="Char1"/>
    <w:uiPriority w:val="99"/>
    <w:semiHidden/>
    <w:unhideWhenUsed/>
    <w:rsid w:val="00B3794A"/>
    <w:rPr>
      <w:sz w:val="18"/>
      <w:szCs w:val="18"/>
    </w:rPr>
  </w:style>
  <w:style w:type="character" w:customStyle="1" w:styleId="Char1">
    <w:name w:val="批注框文本 Char"/>
    <w:basedOn w:val="a0"/>
    <w:link w:val="a5"/>
    <w:uiPriority w:val="99"/>
    <w:semiHidden/>
    <w:rsid w:val="00B3794A"/>
    <w:rPr>
      <w:rFonts w:ascii="Calibri" w:eastAsia="宋体" w:hAnsi="Calibri" w:cs="Times New Roman"/>
      <w:sz w:val="18"/>
      <w:szCs w:val="18"/>
    </w:rPr>
  </w:style>
  <w:style w:type="paragraph" w:styleId="a6">
    <w:name w:val="Normal (Web)"/>
    <w:basedOn w:val="a"/>
    <w:uiPriority w:val="99"/>
    <w:unhideWhenUsed/>
    <w:rsid w:val="00A17003"/>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A170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94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7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3794A"/>
    <w:rPr>
      <w:sz w:val="18"/>
      <w:szCs w:val="18"/>
    </w:rPr>
  </w:style>
  <w:style w:type="paragraph" w:styleId="a4">
    <w:name w:val="footer"/>
    <w:basedOn w:val="a"/>
    <w:link w:val="Char0"/>
    <w:uiPriority w:val="99"/>
    <w:unhideWhenUsed/>
    <w:rsid w:val="00B37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3794A"/>
    <w:rPr>
      <w:sz w:val="18"/>
      <w:szCs w:val="18"/>
    </w:rPr>
  </w:style>
  <w:style w:type="paragraph" w:styleId="a5">
    <w:name w:val="Balloon Text"/>
    <w:basedOn w:val="a"/>
    <w:link w:val="Char1"/>
    <w:uiPriority w:val="99"/>
    <w:semiHidden/>
    <w:unhideWhenUsed/>
    <w:rsid w:val="00B3794A"/>
    <w:rPr>
      <w:sz w:val="18"/>
      <w:szCs w:val="18"/>
    </w:rPr>
  </w:style>
  <w:style w:type="character" w:customStyle="1" w:styleId="Char1">
    <w:name w:val="批注框文本 Char"/>
    <w:basedOn w:val="a0"/>
    <w:link w:val="a5"/>
    <w:uiPriority w:val="99"/>
    <w:semiHidden/>
    <w:rsid w:val="00B3794A"/>
    <w:rPr>
      <w:rFonts w:ascii="Calibri" w:eastAsia="宋体" w:hAnsi="Calibri" w:cs="Times New Roman"/>
      <w:sz w:val="18"/>
      <w:szCs w:val="18"/>
    </w:rPr>
  </w:style>
  <w:style w:type="paragraph" w:styleId="a6">
    <w:name w:val="Normal (Web)"/>
    <w:basedOn w:val="a"/>
    <w:uiPriority w:val="99"/>
    <w:unhideWhenUsed/>
    <w:rsid w:val="00A17003"/>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A170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9307">
      <w:bodyDiv w:val="1"/>
      <w:marLeft w:val="0"/>
      <w:marRight w:val="0"/>
      <w:marTop w:val="0"/>
      <w:marBottom w:val="0"/>
      <w:divBdr>
        <w:top w:val="none" w:sz="0" w:space="0" w:color="auto"/>
        <w:left w:val="none" w:sz="0" w:space="0" w:color="auto"/>
        <w:bottom w:val="none" w:sz="0" w:space="0" w:color="auto"/>
        <w:right w:val="none" w:sz="0" w:space="0" w:color="auto"/>
      </w:divBdr>
    </w:div>
    <w:div w:id="838807965">
      <w:bodyDiv w:val="1"/>
      <w:marLeft w:val="0"/>
      <w:marRight w:val="0"/>
      <w:marTop w:val="0"/>
      <w:marBottom w:val="0"/>
      <w:divBdr>
        <w:top w:val="none" w:sz="0" w:space="0" w:color="auto"/>
        <w:left w:val="none" w:sz="0" w:space="0" w:color="auto"/>
        <w:bottom w:val="none" w:sz="0" w:space="0" w:color="auto"/>
        <w:right w:val="none" w:sz="0" w:space="0" w:color="auto"/>
      </w:divBdr>
    </w:div>
    <w:div w:id="1054697247">
      <w:bodyDiv w:val="1"/>
      <w:marLeft w:val="0"/>
      <w:marRight w:val="0"/>
      <w:marTop w:val="0"/>
      <w:marBottom w:val="0"/>
      <w:divBdr>
        <w:top w:val="none" w:sz="0" w:space="0" w:color="auto"/>
        <w:left w:val="none" w:sz="0" w:space="0" w:color="auto"/>
        <w:bottom w:val="none" w:sz="0" w:space="0" w:color="auto"/>
        <w:right w:val="none" w:sz="0" w:space="0" w:color="auto"/>
      </w:divBdr>
    </w:div>
    <w:div w:id="1565262407">
      <w:bodyDiv w:val="1"/>
      <w:marLeft w:val="0"/>
      <w:marRight w:val="0"/>
      <w:marTop w:val="0"/>
      <w:marBottom w:val="0"/>
      <w:divBdr>
        <w:top w:val="none" w:sz="0" w:space="0" w:color="auto"/>
        <w:left w:val="none" w:sz="0" w:space="0" w:color="auto"/>
        <w:bottom w:val="none" w:sz="0" w:space="0" w:color="auto"/>
        <w:right w:val="none" w:sz="0" w:space="0" w:color="auto"/>
      </w:divBdr>
    </w:div>
    <w:div w:id="1774664718">
      <w:bodyDiv w:val="1"/>
      <w:marLeft w:val="0"/>
      <w:marRight w:val="0"/>
      <w:marTop w:val="0"/>
      <w:marBottom w:val="0"/>
      <w:divBdr>
        <w:top w:val="none" w:sz="0" w:space="0" w:color="auto"/>
        <w:left w:val="none" w:sz="0" w:space="0" w:color="auto"/>
        <w:bottom w:val="none" w:sz="0" w:space="0" w:color="auto"/>
        <w:right w:val="none" w:sz="0" w:space="0" w:color="auto"/>
      </w:divBdr>
      <w:divsChild>
        <w:div w:id="475144604">
          <w:marLeft w:val="0"/>
          <w:marRight w:val="0"/>
          <w:marTop w:val="600"/>
          <w:marBottom w:val="900"/>
          <w:divBdr>
            <w:top w:val="none" w:sz="0" w:space="0" w:color="auto"/>
            <w:left w:val="none" w:sz="0" w:space="0" w:color="auto"/>
            <w:bottom w:val="none" w:sz="0" w:space="0" w:color="auto"/>
            <w:right w:val="none" w:sz="0" w:space="0" w:color="auto"/>
          </w:divBdr>
          <w:divsChild>
            <w:div w:id="296496509">
              <w:marLeft w:val="0"/>
              <w:marRight w:val="0"/>
              <w:marTop w:val="0"/>
              <w:marBottom w:val="0"/>
              <w:divBdr>
                <w:top w:val="none" w:sz="0" w:space="0" w:color="auto"/>
                <w:left w:val="none" w:sz="0" w:space="0" w:color="auto"/>
                <w:bottom w:val="none" w:sz="0" w:space="0" w:color="auto"/>
                <w:right w:val="single" w:sz="6" w:space="30" w:color="EEEEEE"/>
              </w:divBdr>
              <w:divsChild>
                <w:div w:id="15668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712\201801\2018&#24180;1&#26376;&#36164;&#20135;&#27719;&#24635;&#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712\201801\2018&#24180;1&#26376;&#36164;&#20135;&#27719;&#24635;&#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712\201801\2018&#24180;1&#26376;&#36164;&#20135;&#27719;&#24635;&#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8387626177231453E-2"/>
          <c:y val="4.9315480902241582E-2"/>
          <c:w val="0.64143870576399575"/>
          <c:h val="0.8420397241680011"/>
        </c:manualLayout>
      </c:layout>
      <c:pie3DChart>
        <c:varyColors val="1"/>
        <c:ser>
          <c:idx val="0"/>
          <c:order val="0"/>
          <c:dPt>
            <c:idx val="0"/>
            <c:bubble3D val="0"/>
          </c:dPt>
          <c:dPt>
            <c:idx val="1"/>
            <c:bubble3D val="0"/>
          </c:dPt>
          <c:dLbls>
            <c:showLegendKey val="0"/>
            <c:showVal val="1"/>
            <c:showCatName val="0"/>
            <c:showSerName val="0"/>
            <c:showPercent val="0"/>
            <c:showBubbleSize val="0"/>
            <c:showLeaderLines val="1"/>
          </c:dLbls>
          <c:cat>
            <c:strRef>
              <c:f>'2018年1月'!$A$223:$A$224</c:f>
              <c:strCache>
                <c:ptCount val="2"/>
                <c:pt idx="0">
                  <c:v>现金及债券类</c:v>
                </c:pt>
                <c:pt idx="1">
                  <c:v>融资类</c:v>
                </c:pt>
              </c:strCache>
            </c:strRef>
          </c:cat>
          <c:val>
            <c:numRef>
              <c:f>'2018年1月'!$B$223:$B$224</c:f>
              <c:numCache>
                <c:formatCode>0.00%</c:formatCode>
                <c:ptCount val="2"/>
                <c:pt idx="0">
                  <c:v>5.8503351166207029E-2</c:v>
                </c:pt>
                <c:pt idx="1">
                  <c:v>0.94149664883265582</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1"/>
            <c:showCatName val="0"/>
            <c:showSerName val="0"/>
            <c:showPercent val="0"/>
            <c:showBubbleSize val="0"/>
            <c:showLeaderLines val="1"/>
          </c:dLbls>
          <c:cat>
            <c:strRef>
              <c:f>'2018年1月'!$A$233:$A$238</c:f>
              <c:strCache>
                <c:ptCount val="6"/>
                <c:pt idx="0">
                  <c:v>A </c:v>
                </c:pt>
                <c:pt idx="1">
                  <c:v>A+</c:v>
                </c:pt>
                <c:pt idx="2">
                  <c:v>AA</c:v>
                </c:pt>
                <c:pt idx="3">
                  <c:v>AA-</c:v>
                </c:pt>
                <c:pt idx="4">
                  <c:v>AA+</c:v>
                </c:pt>
                <c:pt idx="5">
                  <c:v>AAA</c:v>
                </c:pt>
              </c:strCache>
            </c:strRef>
          </c:cat>
          <c:val>
            <c:numRef>
              <c:f>'2018年1月'!$B$233:$B$238</c:f>
              <c:numCache>
                <c:formatCode>0.00%</c:formatCode>
                <c:ptCount val="6"/>
                <c:pt idx="0">
                  <c:v>0.1193</c:v>
                </c:pt>
                <c:pt idx="1">
                  <c:v>7.1030210976911159E-2</c:v>
                </c:pt>
                <c:pt idx="2">
                  <c:v>0.2661502005304861</c:v>
                </c:pt>
                <c:pt idx="3">
                  <c:v>0.10867622279467408</c:v>
                </c:pt>
                <c:pt idx="4">
                  <c:v>0.14206042195382232</c:v>
                </c:pt>
                <c:pt idx="5">
                  <c:v>0.29275218930289565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'2018年1月'!$B$241</c:f>
              <c:strCache>
                <c:ptCount val="1"/>
                <c:pt idx="0">
                  <c:v>1月各行业</c:v>
                </c:pt>
              </c:strCache>
            </c:strRef>
          </c:tx>
          <c:invertIfNegative val="0"/>
          <c:cat>
            <c:strRef>
              <c:f>'2018年1月'!$A$242:$A$248</c:f>
              <c:strCache>
                <c:ptCount val="7"/>
                <c:pt idx="0">
                  <c:v>电力、热力、燃气及水生产和供应业</c:v>
                </c:pt>
                <c:pt idx="1">
                  <c:v>建筑业</c:v>
                </c:pt>
                <c:pt idx="2">
                  <c:v>批发和零售业</c:v>
                </c:pt>
                <c:pt idx="3">
                  <c:v>水利、环境和公共设施管理业</c:v>
                </c:pt>
                <c:pt idx="4">
                  <c:v>制造业</c:v>
                </c:pt>
                <c:pt idx="5">
                  <c:v>综合</c:v>
                </c:pt>
                <c:pt idx="6">
                  <c:v>租赁和商务服务业</c:v>
                </c:pt>
              </c:strCache>
            </c:strRef>
          </c:cat>
          <c:val>
            <c:numRef>
              <c:f>'2018年1月'!$B$242:$B$248</c:f>
              <c:numCache>
                <c:formatCode>0.00%</c:formatCode>
                <c:ptCount val="7"/>
                <c:pt idx="0">
                  <c:v>0.10654531646536675</c:v>
                </c:pt>
                <c:pt idx="1">
                  <c:v>0.29275218930289565</c:v>
                </c:pt>
                <c:pt idx="2">
                  <c:v>3.7646011817762913E-2</c:v>
                </c:pt>
                <c:pt idx="3">
                  <c:v>3.551510548845558E-2</c:v>
                </c:pt>
                <c:pt idx="4">
                  <c:v>0.28412084390764464</c:v>
                </c:pt>
                <c:pt idx="5">
                  <c:v>7.1030210976911159E-2</c:v>
                </c:pt>
                <c:pt idx="6">
                  <c:v>0.17239032204096338</c:v>
                </c:pt>
              </c:numCache>
            </c:numRef>
          </c:val>
        </c:ser>
        <c:ser>
          <c:idx val="1"/>
          <c:order val="1"/>
          <c:tx>
            <c:strRef>
              <c:f>'2018年1月'!$C$241</c:f>
              <c:strCache>
                <c:ptCount val="1"/>
                <c:pt idx="0">
                  <c:v>12月各行业</c:v>
                </c:pt>
              </c:strCache>
            </c:strRef>
          </c:tx>
          <c:invertIfNegative val="0"/>
          <c:cat>
            <c:strRef>
              <c:f>'2018年1月'!$A$242:$A$248</c:f>
              <c:strCache>
                <c:ptCount val="7"/>
                <c:pt idx="0">
                  <c:v>电力、热力、燃气及水生产和供应业</c:v>
                </c:pt>
                <c:pt idx="1">
                  <c:v>建筑业</c:v>
                </c:pt>
                <c:pt idx="2">
                  <c:v>批发和零售业</c:v>
                </c:pt>
                <c:pt idx="3">
                  <c:v>水利、环境和公共设施管理业</c:v>
                </c:pt>
                <c:pt idx="4">
                  <c:v>制造业</c:v>
                </c:pt>
                <c:pt idx="5">
                  <c:v>综合</c:v>
                </c:pt>
                <c:pt idx="6">
                  <c:v>租赁和商务服务业</c:v>
                </c:pt>
              </c:strCache>
            </c:strRef>
          </c:cat>
          <c:val>
            <c:numRef>
              <c:f>'2018年1月'!$C$242:$C$248</c:f>
              <c:numCache>
                <c:formatCode>0.00%</c:formatCode>
                <c:ptCount val="7"/>
                <c:pt idx="0">
                  <c:v>0.12143784259158516</c:v>
                </c:pt>
                <c:pt idx="1">
                  <c:v>0.51999668751632777</c:v>
                </c:pt>
                <c:pt idx="2">
                  <c:v>8.1120478851178887E-2</c:v>
                </c:pt>
                <c:pt idx="3">
                  <c:v>0</c:v>
                </c:pt>
                <c:pt idx="4">
                  <c:v>0</c:v>
                </c:pt>
                <c:pt idx="5">
                  <c:v>8.0958561727723435E-2</c:v>
                </c:pt>
                <c:pt idx="6">
                  <c:v>0.19648642931318477</c:v>
                </c:pt>
              </c:numCache>
            </c:numRef>
          </c:val>
        </c:ser>
        <c:ser>
          <c:idx val="2"/>
          <c:order val="2"/>
          <c:tx>
            <c:strRef>
              <c:f>'2018年1月'!$D$241</c:f>
              <c:strCache>
                <c:ptCount val="1"/>
                <c:pt idx="0">
                  <c:v>行业变化</c:v>
                </c:pt>
              </c:strCache>
            </c:strRef>
          </c:tx>
          <c:invertIfNegative val="0"/>
          <c:cat>
            <c:strRef>
              <c:f>'2018年1月'!$A$242:$A$248</c:f>
              <c:strCache>
                <c:ptCount val="7"/>
                <c:pt idx="0">
                  <c:v>电力、热力、燃气及水生产和供应业</c:v>
                </c:pt>
                <c:pt idx="1">
                  <c:v>建筑业</c:v>
                </c:pt>
                <c:pt idx="2">
                  <c:v>批发和零售业</c:v>
                </c:pt>
                <c:pt idx="3">
                  <c:v>水利、环境和公共设施管理业</c:v>
                </c:pt>
                <c:pt idx="4">
                  <c:v>制造业</c:v>
                </c:pt>
                <c:pt idx="5">
                  <c:v>综合</c:v>
                </c:pt>
                <c:pt idx="6">
                  <c:v>租赁和商务服务业</c:v>
                </c:pt>
              </c:strCache>
            </c:strRef>
          </c:cat>
          <c:val>
            <c:numRef>
              <c:f>'2018年1月'!$D$242:$D$248</c:f>
              <c:numCache>
                <c:formatCode>0.00%</c:formatCode>
                <c:ptCount val="7"/>
                <c:pt idx="0">
                  <c:v>-1.4892526126218414E-2</c:v>
                </c:pt>
                <c:pt idx="1">
                  <c:v>-0.22724449821343212</c:v>
                </c:pt>
                <c:pt idx="2">
                  <c:v>-4.3474467033415974E-2</c:v>
                </c:pt>
                <c:pt idx="3">
                  <c:v>3.551510548845558E-2</c:v>
                </c:pt>
                <c:pt idx="4">
                  <c:v>0.28412084390764464</c:v>
                </c:pt>
                <c:pt idx="5">
                  <c:v>-9.9283507508122759E-3</c:v>
                </c:pt>
                <c:pt idx="6">
                  <c:v>-2.409610727222139E-2</c:v>
                </c:pt>
              </c:numCache>
            </c:numRef>
          </c:val>
        </c:ser>
        <c:dLbls>
          <c:showLegendKey val="0"/>
          <c:showVal val="0"/>
          <c:showCatName val="0"/>
          <c:showSerName val="0"/>
          <c:showPercent val="0"/>
          <c:showBubbleSize val="0"/>
        </c:dLbls>
        <c:gapWidth val="150"/>
        <c:axId val="99554432"/>
        <c:axId val="99555968"/>
      </c:barChart>
      <c:catAx>
        <c:axId val="99554432"/>
        <c:scaling>
          <c:orientation val="minMax"/>
        </c:scaling>
        <c:delete val="0"/>
        <c:axPos val="l"/>
        <c:numFmt formatCode="General" sourceLinked="1"/>
        <c:majorTickMark val="out"/>
        <c:minorTickMark val="none"/>
        <c:tickLblPos val="nextTo"/>
        <c:crossAx val="99555968"/>
        <c:crosses val="autoZero"/>
        <c:auto val="1"/>
        <c:lblAlgn val="ctr"/>
        <c:lblOffset val="100"/>
        <c:noMultiLvlLbl val="0"/>
      </c:catAx>
      <c:valAx>
        <c:axId val="99555968"/>
        <c:scaling>
          <c:orientation val="minMax"/>
          <c:max val="0.5"/>
          <c:min val="-0.1"/>
        </c:scaling>
        <c:delete val="0"/>
        <c:axPos val="b"/>
        <c:majorGridlines/>
        <c:numFmt formatCode="0%" sourceLinked="0"/>
        <c:majorTickMark val="out"/>
        <c:minorTickMark val="none"/>
        <c:tickLblPos val="nextTo"/>
        <c:crossAx val="99554432"/>
        <c:crosses val="autoZero"/>
        <c:crossBetween val="between"/>
        <c:majorUnit val="0.1"/>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杨雯玥</dc:creator>
  <cp:lastModifiedBy>admin</cp:lastModifiedBy>
  <cp:revision>6</cp:revision>
  <dcterms:created xsi:type="dcterms:W3CDTF">2018-02-02T14:19:00Z</dcterms:created>
  <dcterms:modified xsi:type="dcterms:W3CDTF">2018-02-06T02:42:00Z</dcterms:modified>
</cp:coreProperties>
</file>