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CEC7C" w14:textId="5D9FED88" w:rsidR="000F7ED1" w:rsidRDefault="000F7ED1" w:rsidP="00894D0E">
      <w:pPr>
        <w:pStyle w:val="BodyText"/>
        <w:spacing w:before="0" w:after="0" w:line="400" w:lineRule="exact"/>
        <w:jc w:val="left"/>
        <w:rPr>
          <w:rFonts w:ascii="Times New Roman" w:eastAsia="彩虹粗仿宋" w:hAnsi="Times New Roman"/>
          <w:b/>
          <w:sz w:val="24"/>
          <w:szCs w:val="24"/>
          <w:lang w:val="en-US" w:eastAsia="zh-CN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8240" behindDoc="0" locked="0" layoutInCell="1" allowOverlap="1" wp14:anchorId="33398D35" wp14:editId="403EF5F5">
            <wp:simplePos x="0" y="0"/>
            <wp:positionH relativeFrom="column">
              <wp:posOffset>2381250</wp:posOffset>
            </wp:positionH>
            <wp:positionV relativeFrom="paragraph">
              <wp:posOffset>-422275</wp:posOffset>
            </wp:positionV>
            <wp:extent cx="2895238" cy="619048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238" cy="619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35D60" w14:textId="39E692F1" w:rsidR="00894D0E" w:rsidRPr="00894D0E" w:rsidRDefault="00894D0E" w:rsidP="00894D0E">
      <w:pPr>
        <w:pStyle w:val="BodyText"/>
        <w:spacing w:before="0" w:after="0" w:line="400" w:lineRule="exact"/>
        <w:jc w:val="left"/>
        <w:rPr>
          <w:rFonts w:ascii="Times New Roman" w:eastAsia="彩虹粗仿宋" w:hAnsi="Times New Roman" w:hint="eastAsia"/>
          <w:b/>
          <w:sz w:val="24"/>
          <w:szCs w:val="24"/>
          <w:lang w:val="en-US" w:eastAsia="zh-CN"/>
        </w:rPr>
      </w:pPr>
      <w:r w:rsidRPr="00894D0E">
        <w:rPr>
          <w:rFonts w:ascii="Times New Roman" w:eastAsia="彩虹粗仿宋" w:hAnsi="Times New Roman" w:hint="eastAsia"/>
          <w:b/>
          <w:sz w:val="24"/>
          <w:szCs w:val="24"/>
          <w:lang w:val="en-US" w:eastAsia="zh-CN"/>
        </w:rPr>
        <w:t>Press Release</w:t>
      </w:r>
    </w:p>
    <w:p w14:paraId="2D52288F" w14:textId="36D12AA1" w:rsidR="00894D0E" w:rsidRDefault="00894D0E" w:rsidP="00894D0E">
      <w:pPr>
        <w:pStyle w:val="BodyText"/>
        <w:spacing w:before="0" w:after="0" w:line="400" w:lineRule="exact"/>
        <w:jc w:val="center"/>
        <w:rPr>
          <w:rFonts w:ascii="Times New Roman" w:eastAsia="彩虹粗仿宋" w:hAnsi="Times New Roman"/>
          <w:b/>
          <w:sz w:val="28"/>
          <w:szCs w:val="24"/>
          <w:lang w:val="en-US" w:eastAsia="zh-CN"/>
        </w:rPr>
      </w:pPr>
      <w:bookmarkStart w:id="0" w:name="_GoBack"/>
      <w:bookmarkEnd w:id="0"/>
    </w:p>
    <w:p w14:paraId="40FE52DE" w14:textId="2C1FDC07" w:rsidR="00F35E60" w:rsidRPr="00894D0E" w:rsidRDefault="00F35E60" w:rsidP="00894D0E">
      <w:pPr>
        <w:pStyle w:val="BodyText"/>
        <w:spacing w:before="0" w:after="0" w:line="400" w:lineRule="exact"/>
        <w:jc w:val="center"/>
        <w:rPr>
          <w:rFonts w:ascii="Times New Roman" w:eastAsia="彩虹粗仿宋" w:hAnsi="Times New Roman"/>
          <w:b/>
          <w:sz w:val="28"/>
          <w:szCs w:val="24"/>
          <w:lang w:val="en-US" w:eastAsia="zh-CN"/>
        </w:rPr>
      </w:pPr>
      <w:r w:rsidRPr="00894D0E">
        <w:rPr>
          <w:rFonts w:ascii="Times New Roman" w:eastAsia="彩虹粗仿宋" w:hAnsi="Times New Roman"/>
          <w:b/>
          <w:sz w:val="28"/>
          <w:szCs w:val="24"/>
          <w:lang w:val="en-US" w:eastAsia="zh-CN"/>
        </w:rPr>
        <w:t xml:space="preserve">China Construction Bank </w:t>
      </w:r>
      <w:r w:rsidR="005A3249" w:rsidRPr="00894D0E">
        <w:rPr>
          <w:rFonts w:ascii="Times New Roman" w:eastAsia="彩虹粗仿宋" w:hAnsi="Times New Roman"/>
          <w:b/>
          <w:sz w:val="28"/>
          <w:szCs w:val="24"/>
          <w:lang w:val="en-US" w:eastAsia="zh-CN"/>
        </w:rPr>
        <w:t xml:space="preserve">Releases </w:t>
      </w:r>
      <w:r w:rsidRPr="00894D0E">
        <w:rPr>
          <w:rFonts w:ascii="Times New Roman" w:eastAsia="彩虹粗仿宋" w:hAnsi="Times New Roman"/>
          <w:b/>
          <w:sz w:val="28"/>
          <w:szCs w:val="24"/>
          <w:lang w:val="en-US" w:eastAsia="zh-CN"/>
        </w:rPr>
        <w:t>2016 Q3 Results</w:t>
      </w:r>
    </w:p>
    <w:p w14:paraId="77BDEFFA" w14:textId="5D48C664" w:rsidR="00BB5A8C" w:rsidRPr="00894D0E" w:rsidRDefault="00F35E60" w:rsidP="00894D0E">
      <w:pPr>
        <w:pStyle w:val="BodyText"/>
        <w:spacing w:before="0" w:after="0" w:line="400" w:lineRule="exact"/>
        <w:jc w:val="center"/>
        <w:rPr>
          <w:rFonts w:ascii="Times New Roman" w:eastAsia="彩虹粗仿宋" w:hAnsi="Times New Roman"/>
          <w:b/>
          <w:sz w:val="28"/>
          <w:szCs w:val="24"/>
          <w:lang w:val="en-US" w:eastAsia="zh-CN"/>
        </w:rPr>
      </w:pPr>
      <w:r w:rsidRPr="00894D0E">
        <w:rPr>
          <w:rFonts w:ascii="Times New Roman" w:eastAsia="彩虹粗仿宋" w:hAnsi="Times New Roman"/>
          <w:b/>
          <w:sz w:val="28"/>
          <w:szCs w:val="24"/>
          <w:lang w:val="en-US" w:eastAsia="zh-CN"/>
        </w:rPr>
        <w:t xml:space="preserve">Core Indicators including Asset </w:t>
      </w:r>
      <w:r w:rsidR="005A3249" w:rsidRPr="00894D0E">
        <w:rPr>
          <w:rFonts w:ascii="Times New Roman" w:eastAsia="彩虹粗仿宋" w:hAnsi="Times New Roman"/>
          <w:b/>
          <w:sz w:val="28"/>
          <w:szCs w:val="24"/>
          <w:lang w:val="en-US" w:eastAsia="zh-CN"/>
        </w:rPr>
        <w:t>Size</w:t>
      </w:r>
      <w:r w:rsidRPr="00894D0E">
        <w:rPr>
          <w:rFonts w:ascii="Times New Roman" w:eastAsia="彩虹粗仿宋" w:hAnsi="Times New Roman"/>
          <w:b/>
          <w:sz w:val="28"/>
          <w:szCs w:val="24"/>
          <w:lang w:val="en-US" w:eastAsia="zh-CN"/>
        </w:rPr>
        <w:t>, Profitability and Asset Quality Achieving Steady Performance</w:t>
      </w:r>
    </w:p>
    <w:p w14:paraId="4CAC4826" w14:textId="77777777" w:rsidR="00253F55" w:rsidRPr="00894D0E" w:rsidRDefault="00253F55" w:rsidP="00894D0E">
      <w:pPr>
        <w:pStyle w:val="BodyText"/>
        <w:spacing w:before="0" w:after="0" w:line="400" w:lineRule="exact"/>
        <w:ind w:firstLineChars="200" w:firstLine="480"/>
        <w:rPr>
          <w:rFonts w:ascii="Times New Roman" w:eastAsia="彩虹粗仿宋" w:hAnsi="Times New Roman"/>
          <w:sz w:val="24"/>
          <w:szCs w:val="24"/>
          <w:lang w:eastAsia="zh-CN"/>
        </w:rPr>
      </w:pPr>
    </w:p>
    <w:p w14:paraId="0858BD3D" w14:textId="354FF8D9" w:rsidR="00F35E60" w:rsidRPr="00894D0E" w:rsidRDefault="00F35E60" w:rsidP="00894D0E">
      <w:pPr>
        <w:pStyle w:val="BodyText"/>
        <w:spacing w:before="0" w:after="0" w:line="400" w:lineRule="exact"/>
        <w:rPr>
          <w:rFonts w:ascii="Times New Roman" w:eastAsia="彩虹粗仿宋" w:hAnsi="Times New Roman"/>
          <w:sz w:val="24"/>
          <w:szCs w:val="24"/>
          <w:lang w:eastAsia="zh-CN"/>
        </w:rPr>
      </w:pPr>
      <w:r w:rsidRPr="00894D0E">
        <w:rPr>
          <w:rFonts w:ascii="Times New Roman" w:eastAsia="彩虹粗仿宋" w:hAnsi="Times New Roman"/>
          <w:b/>
          <w:sz w:val="24"/>
          <w:szCs w:val="24"/>
          <w:lang w:eastAsia="zh-CN"/>
        </w:rPr>
        <w:t>Beijing/Hong Kong, 27 October 2016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 – China Construction Bank Corporation (“the Bank” or “CCB”) (A-share stock code: 601939; H-share stock code: 939) </w:t>
      </w:r>
      <w:r w:rsidR="005A3249"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released 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its results </w:t>
      </w:r>
      <w:r w:rsidR="00E85D5B" w:rsidRPr="00894D0E">
        <w:rPr>
          <w:rFonts w:ascii="Times New Roman" w:eastAsia="彩虹粗仿宋" w:hAnsi="Times New Roman"/>
          <w:sz w:val="24"/>
          <w:szCs w:val="24"/>
          <w:lang w:eastAsia="zh-CN"/>
        </w:rPr>
        <w:t>for the third quarter of 2016 (t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>he data herein were prepared under the International Financial Reporting Standards on a consolidated basis expressed in RMB unless otherwise stated). As at 30 September 2016, the Bank’s total assets exceeded RMB</w:t>
      </w:r>
      <w:r w:rsidR="003B43AB" w:rsidRPr="00894D0E">
        <w:rPr>
          <w:rFonts w:ascii="Times New Roman" w:eastAsia="彩虹粗仿宋" w:hAnsi="Times New Roman"/>
          <w:b/>
          <w:color w:val="FF0000"/>
          <w:sz w:val="24"/>
          <w:szCs w:val="24"/>
          <w:lang w:eastAsia="zh-CN"/>
        </w:rPr>
        <w:t>20 trillion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>, reaching RMB</w:t>
      </w:r>
      <w:r w:rsidR="003B43AB" w:rsidRPr="00894D0E">
        <w:rPr>
          <w:rFonts w:ascii="Times New Roman" w:eastAsia="彩虹粗仿宋" w:hAnsi="Times New Roman"/>
          <w:b/>
          <w:color w:val="FF0000"/>
          <w:sz w:val="24"/>
          <w:szCs w:val="24"/>
          <w:lang w:eastAsia="zh-CN"/>
        </w:rPr>
        <w:t>20,500,683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 million, up by RMB</w:t>
      </w:r>
      <w:r w:rsidR="003B43AB" w:rsidRPr="00894D0E">
        <w:rPr>
          <w:rFonts w:ascii="Times New Roman" w:eastAsia="彩虹粗仿宋" w:hAnsi="Times New Roman"/>
          <w:b/>
          <w:color w:val="FF0000"/>
          <w:sz w:val="24"/>
          <w:szCs w:val="24"/>
          <w:lang w:eastAsia="zh-CN"/>
        </w:rPr>
        <w:t>2,151,194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 million, or </w:t>
      </w:r>
      <w:r w:rsidR="003B43AB" w:rsidRPr="00894D0E">
        <w:rPr>
          <w:rFonts w:ascii="Times New Roman" w:eastAsia="彩虹粗仿宋" w:hAnsi="Times New Roman"/>
          <w:b/>
          <w:color w:val="FF0000"/>
          <w:sz w:val="24"/>
          <w:szCs w:val="24"/>
          <w:lang w:eastAsia="zh-CN"/>
        </w:rPr>
        <w:t>11.72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>%, from the end of 2015.</w:t>
      </w:r>
    </w:p>
    <w:p w14:paraId="1DE27BB8" w14:textId="77777777" w:rsidR="00894D0E" w:rsidRDefault="00894D0E" w:rsidP="00894D0E">
      <w:pPr>
        <w:pStyle w:val="BodyText"/>
        <w:spacing w:before="0" w:after="0" w:line="400" w:lineRule="exact"/>
        <w:rPr>
          <w:rFonts w:ascii="Times New Roman" w:eastAsia="彩虹粗仿宋" w:hAnsi="Times New Roman"/>
          <w:sz w:val="24"/>
          <w:szCs w:val="24"/>
          <w:lang w:eastAsia="zh-CN"/>
        </w:rPr>
      </w:pPr>
    </w:p>
    <w:p w14:paraId="4F60820F" w14:textId="2428329E" w:rsidR="00F35E60" w:rsidRPr="00894D0E" w:rsidRDefault="00F35E60" w:rsidP="00894D0E">
      <w:pPr>
        <w:pStyle w:val="BodyText"/>
        <w:spacing w:before="0" w:after="0" w:line="400" w:lineRule="exact"/>
        <w:rPr>
          <w:rFonts w:ascii="Times New Roman" w:eastAsia="彩虹粗仿宋" w:hAnsi="Times New Roman"/>
          <w:sz w:val="24"/>
          <w:szCs w:val="24"/>
          <w:lang w:eastAsia="zh-CN"/>
        </w:rPr>
      </w:pP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>Since the full implementation of its transformation development plan, the Bank has made substantia</w:t>
      </w:r>
      <w:r w:rsidR="00E85D5B"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l progress </w:t>
      </w:r>
      <w:r w:rsidR="005E6597"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in the transformation in five aspects to build a bank featuring integration, multifunctional service, intensive development, innovation and smartness. </w:t>
      </w:r>
      <w:r w:rsidR="00E85D5B" w:rsidRPr="00894D0E">
        <w:rPr>
          <w:rFonts w:ascii="Times New Roman" w:eastAsia="彩虹粗仿宋" w:hAnsi="Times New Roman"/>
          <w:sz w:val="24"/>
          <w:szCs w:val="24"/>
          <w:lang w:eastAsia="zh-CN"/>
        </w:rPr>
        <w:t>The Bank has continued to strengthen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 its operating capabilities and maintained good core indicators</w:t>
      </w:r>
      <w:r w:rsidR="00E85D5B"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 </w:t>
      </w:r>
      <w:r w:rsidR="005A3249"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for </w:t>
      </w:r>
      <w:r w:rsidR="00E85D5B"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the </w:t>
      </w:r>
      <w:r w:rsidR="005A3249"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first three </w:t>
      </w:r>
      <w:r w:rsidR="00E85D5B" w:rsidRPr="00894D0E">
        <w:rPr>
          <w:rFonts w:ascii="Times New Roman" w:eastAsia="彩虹粗仿宋" w:hAnsi="Times New Roman"/>
          <w:sz w:val="24"/>
          <w:szCs w:val="24"/>
          <w:lang w:eastAsia="zh-CN"/>
        </w:rPr>
        <w:t>quarter</w:t>
      </w:r>
      <w:r w:rsidR="005A3249" w:rsidRPr="00894D0E">
        <w:rPr>
          <w:rFonts w:ascii="Times New Roman" w:eastAsia="彩虹粗仿宋" w:hAnsi="Times New Roman"/>
          <w:sz w:val="24"/>
          <w:szCs w:val="24"/>
          <w:lang w:eastAsia="zh-CN"/>
        </w:rPr>
        <w:t>s</w:t>
      </w:r>
      <w:r w:rsidR="00E85D5B" w:rsidRPr="00894D0E">
        <w:rPr>
          <w:rFonts w:ascii="Times New Roman" w:eastAsia="彩虹粗仿宋" w:hAnsi="Times New Roman"/>
          <w:sz w:val="24"/>
          <w:szCs w:val="24"/>
          <w:lang w:eastAsia="zh-CN"/>
        </w:rPr>
        <w:t>. As at 30 September 2016, the B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>ank realized a net profit of RMB</w:t>
      </w:r>
      <w:r w:rsidR="003B43AB" w:rsidRPr="00894D0E">
        <w:rPr>
          <w:rFonts w:ascii="Times New Roman" w:eastAsia="彩虹粗仿宋" w:hAnsi="Times New Roman"/>
          <w:b/>
          <w:color w:val="FF0000"/>
          <w:sz w:val="24"/>
          <w:szCs w:val="24"/>
          <w:lang w:eastAsia="zh-CN"/>
        </w:rPr>
        <w:t>194,670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 million, of which net profit attributable to equity shareholders of the Bank was RMB</w:t>
      </w:r>
      <w:r w:rsidR="003B43AB" w:rsidRPr="00894D0E">
        <w:rPr>
          <w:rFonts w:ascii="Times New Roman" w:eastAsia="彩虹粗仿宋" w:hAnsi="Times New Roman"/>
          <w:b/>
          <w:color w:val="FF0000"/>
          <w:sz w:val="24"/>
          <w:szCs w:val="24"/>
          <w:lang w:eastAsia="zh-CN"/>
        </w:rPr>
        <w:t>193,835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 million, up by </w:t>
      </w:r>
      <w:r w:rsidR="003B43AB" w:rsidRPr="00894D0E">
        <w:rPr>
          <w:rFonts w:ascii="Times New Roman" w:eastAsia="彩虹粗仿宋" w:hAnsi="Times New Roman"/>
          <w:b/>
          <w:color w:val="FF0000"/>
          <w:sz w:val="24"/>
          <w:szCs w:val="24"/>
          <w:lang w:eastAsia="zh-CN"/>
        </w:rPr>
        <w:t>1.35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% and </w:t>
      </w:r>
      <w:r w:rsidR="003B43AB" w:rsidRPr="00894D0E">
        <w:rPr>
          <w:rFonts w:ascii="Times New Roman" w:eastAsia="彩虹粗仿宋" w:hAnsi="Times New Roman"/>
          <w:b/>
          <w:color w:val="FF0000"/>
          <w:sz w:val="24"/>
          <w:szCs w:val="24"/>
          <w:lang w:eastAsia="zh-CN"/>
        </w:rPr>
        <w:t>1.19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% year-on-year respectively. Annualized return on average assets and annualized return on average equity stood at </w:t>
      </w:r>
      <w:r w:rsidR="003B43AB" w:rsidRPr="00894D0E">
        <w:rPr>
          <w:rFonts w:ascii="Times New Roman" w:eastAsia="彩虹粗仿宋" w:hAnsi="Times New Roman"/>
          <w:b/>
          <w:color w:val="FF0000"/>
          <w:sz w:val="24"/>
          <w:szCs w:val="24"/>
          <w:lang w:eastAsia="zh-CN"/>
        </w:rPr>
        <w:t>1.34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% and </w:t>
      </w:r>
      <w:r w:rsidR="00894D0E" w:rsidRPr="00894D0E">
        <w:rPr>
          <w:rFonts w:ascii="Times New Roman" w:eastAsia="彩虹粗仿宋" w:hAnsi="Times New Roman"/>
          <w:b/>
          <w:color w:val="FF0000"/>
          <w:sz w:val="24"/>
          <w:szCs w:val="24"/>
          <w:lang w:eastAsia="zh-CN"/>
        </w:rPr>
        <w:t>17.16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% respectively.  </w:t>
      </w:r>
    </w:p>
    <w:p w14:paraId="14B0FE77" w14:textId="77777777" w:rsidR="00894D0E" w:rsidRDefault="00894D0E" w:rsidP="00894D0E">
      <w:pPr>
        <w:pStyle w:val="BodyText"/>
        <w:spacing w:before="0" w:after="0" w:line="400" w:lineRule="exact"/>
        <w:rPr>
          <w:rFonts w:ascii="Times New Roman" w:eastAsia="彩虹粗仿宋" w:hAnsi="Times New Roman"/>
          <w:sz w:val="24"/>
          <w:szCs w:val="24"/>
          <w:lang w:eastAsia="zh-CN"/>
        </w:rPr>
      </w:pPr>
    </w:p>
    <w:p w14:paraId="446A5C6E" w14:textId="3B1CE81C" w:rsidR="00635FB0" w:rsidRPr="00894D0E" w:rsidRDefault="00635FB0" w:rsidP="00894D0E">
      <w:pPr>
        <w:pStyle w:val="BodyText"/>
        <w:spacing w:before="0" w:after="0" w:line="400" w:lineRule="exact"/>
        <w:rPr>
          <w:rFonts w:ascii="Times New Roman" w:eastAsia="彩虹粗仿宋" w:hAnsi="Times New Roman"/>
          <w:sz w:val="24"/>
          <w:szCs w:val="24"/>
          <w:lang w:eastAsia="zh-CN"/>
        </w:rPr>
      </w:pP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>As at 30 September 2016, the Bank’s total loans and advances to customers</w:t>
      </w:r>
      <w:r w:rsidR="00C00BE5"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 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increased by </w:t>
      </w:r>
      <w:r w:rsidR="00F35E60" w:rsidRPr="00894D0E">
        <w:rPr>
          <w:rFonts w:ascii="Times New Roman" w:eastAsia="彩虹粗仿宋" w:hAnsi="Times New Roman"/>
          <w:sz w:val="24"/>
          <w:szCs w:val="24"/>
          <w:lang w:eastAsia="zh-CN"/>
        </w:rPr>
        <w:t>RMB</w:t>
      </w:r>
      <w:r w:rsidR="003B43AB" w:rsidRPr="00894D0E">
        <w:rPr>
          <w:rFonts w:ascii="Times New Roman" w:eastAsia="彩虹粗仿宋" w:hAnsi="Times New Roman"/>
          <w:b/>
          <w:color w:val="FF0000"/>
          <w:sz w:val="24"/>
          <w:szCs w:val="24"/>
          <w:lang w:eastAsia="zh-CN"/>
        </w:rPr>
        <w:t>1,030,257</w:t>
      </w:r>
      <w:r w:rsidR="00F35E60"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 million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, or </w:t>
      </w:r>
      <w:r w:rsidR="003B43AB" w:rsidRPr="00894D0E">
        <w:rPr>
          <w:rFonts w:ascii="Times New Roman" w:eastAsia="彩虹粗仿宋" w:hAnsi="Times New Roman"/>
          <w:b/>
          <w:color w:val="FF0000"/>
          <w:sz w:val="24"/>
          <w:szCs w:val="24"/>
          <w:lang w:eastAsia="zh-CN"/>
        </w:rPr>
        <w:t>9.83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%, from the end of 2015 to </w:t>
      </w:r>
      <w:r w:rsidR="00F35E60" w:rsidRPr="00894D0E">
        <w:rPr>
          <w:rFonts w:ascii="Times New Roman" w:eastAsia="彩虹粗仿宋" w:hAnsi="Times New Roman"/>
          <w:sz w:val="24"/>
          <w:szCs w:val="24"/>
          <w:lang w:eastAsia="zh-CN"/>
        </w:rPr>
        <w:t>RMB</w:t>
      </w:r>
      <w:r w:rsidR="003B43AB" w:rsidRPr="00894D0E">
        <w:rPr>
          <w:rFonts w:ascii="Times New Roman" w:eastAsia="彩虹粗仿宋" w:hAnsi="Times New Roman"/>
          <w:b/>
          <w:color w:val="FF0000"/>
          <w:sz w:val="24"/>
          <w:szCs w:val="24"/>
          <w:lang w:eastAsia="zh-CN"/>
        </w:rPr>
        <w:t>11,515,397</w:t>
      </w:r>
      <w:r w:rsidR="00F35E60"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 million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; deposits from customer amounted to </w:t>
      </w:r>
      <w:r w:rsidR="00F35E60" w:rsidRPr="00894D0E">
        <w:rPr>
          <w:rFonts w:ascii="Times New Roman" w:eastAsia="彩虹粗仿宋" w:hAnsi="Times New Roman"/>
          <w:sz w:val="24"/>
          <w:szCs w:val="24"/>
          <w:lang w:eastAsia="zh-CN"/>
        </w:rPr>
        <w:t>RMB</w:t>
      </w:r>
      <w:r w:rsidR="003B43AB" w:rsidRPr="00894D0E">
        <w:rPr>
          <w:rFonts w:ascii="Times New Roman" w:eastAsia="彩虹粗仿宋" w:hAnsi="Times New Roman"/>
          <w:b/>
          <w:color w:val="FF0000"/>
          <w:sz w:val="24"/>
          <w:szCs w:val="24"/>
          <w:lang w:eastAsia="zh-CN"/>
        </w:rPr>
        <w:t xml:space="preserve">15,277,178 </w:t>
      </w:r>
      <w:r w:rsidR="00F35E60" w:rsidRPr="00894D0E">
        <w:rPr>
          <w:rFonts w:ascii="Times New Roman" w:eastAsia="彩虹粗仿宋" w:hAnsi="Times New Roman"/>
          <w:sz w:val="24"/>
          <w:szCs w:val="24"/>
          <w:lang w:eastAsia="zh-CN"/>
        </w:rPr>
        <w:t>million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>, increasing by</w:t>
      </w:r>
      <w:r w:rsidR="003B43AB"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 RMB</w:t>
      </w:r>
      <w:r w:rsidR="003B43AB" w:rsidRPr="00894D0E">
        <w:rPr>
          <w:rFonts w:ascii="Times New Roman" w:eastAsia="彩虹粗仿宋" w:hAnsi="Times New Roman"/>
          <w:b/>
          <w:color w:val="FF0000"/>
          <w:sz w:val="24"/>
          <w:szCs w:val="24"/>
          <w:lang w:eastAsia="zh-CN"/>
        </w:rPr>
        <w:t xml:space="preserve">1,608,645 </w:t>
      </w:r>
      <w:r w:rsidR="003B43AB" w:rsidRPr="00894D0E">
        <w:rPr>
          <w:rFonts w:ascii="Times New Roman" w:eastAsia="彩虹粗仿宋" w:hAnsi="Times New Roman"/>
          <w:sz w:val="24"/>
          <w:szCs w:val="24"/>
          <w:lang w:eastAsia="zh-CN"/>
        </w:rPr>
        <w:t>million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, up by </w:t>
      </w:r>
      <w:r w:rsidR="003B43AB" w:rsidRPr="00894D0E">
        <w:rPr>
          <w:rFonts w:ascii="Times New Roman" w:eastAsia="彩虹粗仿宋" w:hAnsi="Times New Roman"/>
          <w:b/>
          <w:color w:val="FF0000"/>
          <w:sz w:val="24"/>
          <w:szCs w:val="24"/>
          <w:lang w:eastAsia="zh-CN"/>
        </w:rPr>
        <w:t>11.77</w:t>
      </w:r>
      <w:r w:rsidR="00C00BE5" w:rsidRPr="00894D0E">
        <w:rPr>
          <w:rFonts w:ascii="Times New Roman" w:eastAsia="彩虹粗仿宋" w:hAnsi="Times New Roman"/>
          <w:sz w:val="24"/>
          <w:szCs w:val="24"/>
          <w:lang w:eastAsia="zh-CN"/>
        </w:rPr>
        <w:t>%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 compared with the end of 2015.</w:t>
      </w:r>
      <w:r w:rsidR="003B43AB"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 </w:t>
      </w:r>
    </w:p>
    <w:p w14:paraId="38A103C0" w14:textId="77777777" w:rsidR="00894D0E" w:rsidRDefault="00894D0E" w:rsidP="00894D0E">
      <w:pPr>
        <w:pStyle w:val="BodyText"/>
        <w:spacing w:before="0" w:after="0" w:line="400" w:lineRule="exact"/>
        <w:rPr>
          <w:rFonts w:ascii="Times New Roman" w:eastAsia="彩虹粗仿宋" w:hAnsi="Times New Roman"/>
          <w:sz w:val="24"/>
          <w:szCs w:val="24"/>
          <w:lang w:eastAsia="zh-CN"/>
        </w:rPr>
      </w:pPr>
    </w:p>
    <w:p w14:paraId="3F68BFC7" w14:textId="5F015C1A" w:rsidR="00C00BE5" w:rsidRPr="00894D0E" w:rsidRDefault="00C00BE5" w:rsidP="00894D0E">
      <w:pPr>
        <w:pStyle w:val="BodyText"/>
        <w:spacing w:before="0" w:after="0" w:line="400" w:lineRule="exact"/>
        <w:rPr>
          <w:rFonts w:ascii="Times New Roman" w:eastAsia="彩虹粗仿宋" w:hAnsi="Times New Roman"/>
          <w:sz w:val="24"/>
          <w:szCs w:val="24"/>
          <w:lang w:eastAsia="zh-CN"/>
        </w:rPr>
      </w:pP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>In addition to the steady growth of deposits and loans, the</w:t>
      </w:r>
      <w:r w:rsidR="00B723D2"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 Bank’s fee-based services 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achieved a solid growth. As at the end of September, the Bank’s net fee and commission income for the third quarter of 2016 increased by </w:t>
      </w:r>
      <w:r w:rsidR="003B43AB" w:rsidRPr="00894D0E">
        <w:rPr>
          <w:rFonts w:ascii="Times New Roman" w:eastAsia="彩虹粗仿宋" w:hAnsi="Times New Roman"/>
          <w:b/>
          <w:color w:val="FF0000"/>
          <w:sz w:val="24"/>
          <w:szCs w:val="24"/>
          <w:lang w:eastAsia="zh-CN"/>
        </w:rPr>
        <w:t>4.09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% year-on-year to </w:t>
      </w:r>
      <w:r w:rsidR="00F35E60" w:rsidRPr="00894D0E">
        <w:rPr>
          <w:rFonts w:ascii="Times New Roman" w:eastAsia="彩虹粗仿宋" w:hAnsi="Times New Roman"/>
          <w:sz w:val="24"/>
          <w:szCs w:val="24"/>
          <w:lang w:eastAsia="zh-CN"/>
        </w:rPr>
        <w:t>RMB</w:t>
      </w:r>
      <w:r w:rsidR="003B43AB" w:rsidRPr="00894D0E">
        <w:rPr>
          <w:rFonts w:ascii="Times New Roman" w:eastAsia="彩虹粗仿宋" w:hAnsi="Times New Roman"/>
          <w:b/>
          <w:color w:val="FF0000"/>
          <w:sz w:val="24"/>
          <w:szCs w:val="24"/>
          <w:lang w:eastAsia="zh-CN"/>
        </w:rPr>
        <w:t>92,314</w:t>
      </w:r>
      <w:r w:rsidR="00F35E60"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 million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. The agency insurance, wealth management product and custody business 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lastRenderedPageBreak/>
        <w:t xml:space="preserve">registered </w:t>
      </w:r>
      <w:r w:rsidR="005A3249"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a 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>rapid growth, with products such as credit card</w:t>
      </w:r>
      <w:r w:rsidR="00B723D2" w:rsidRPr="00894D0E">
        <w:rPr>
          <w:rFonts w:ascii="Times New Roman" w:eastAsia="彩虹粗仿宋" w:hAnsi="Times New Roman"/>
          <w:sz w:val="24"/>
          <w:szCs w:val="24"/>
          <w:lang w:eastAsia="zh-CN"/>
        </w:rPr>
        <w:t>s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 and e-banking also delivering sound performance.</w:t>
      </w:r>
    </w:p>
    <w:p w14:paraId="1419C07C" w14:textId="77777777" w:rsidR="00894D0E" w:rsidRDefault="00894D0E" w:rsidP="00894D0E">
      <w:pPr>
        <w:pStyle w:val="BodyText"/>
        <w:spacing w:before="0" w:after="0" w:line="400" w:lineRule="exact"/>
        <w:rPr>
          <w:rFonts w:ascii="Times New Roman" w:eastAsia="彩虹粗仿宋" w:hAnsi="Times New Roman"/>
          <w:sz w:val="24"/>
          <w:szCs w:val="24"/>
          <w:lang w:eastAsia="zh-CN"/>
        </w:rPr>
      </w:pPr>
    </w:p>
    <w:p w14:paraId="30920AA3" w14:textId="52373ACB" w:rsidR="00C00BE5" w:rsidRPr="00894D0E" w:rsidRDefault="00224955" w:rsidP="00894D0E">
      <w:pPr>
        <w:pStyle w:val="BodyText"/>
        <w:spacing w:before="0" w:after="0" w:line="400" w:lineRule="exact"/>
        <w:rPr>
          <w:rFonts w:ascii="Times New Roman" w:eastAsia="彩虹粗仿宋" w:hAnsi="Times New Roman"/>
          <w:sz w:val="24"/>
          <w:szCs w:val="24"/>
          <w:lang w:eastAsia="zh-CN"/>
        </w:rPr>
      </w:pP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With regard to asset quality, the Bank has </w:t>
      </w:r>
      <w:r w:rsidR="00B723D2"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adhered to a 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>comprehensive risk management</w:t>
      </w:r>
      <w:r w:rsidR="00B723D2"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 that is strict and effective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>, and has strengthened its forward-looking risk management and improved the efficiency of disposal of non-performing loans (NPL</w:t>
      </w:r>
      <w:r w:rsidR="00B723D2" w:rsidRPr="00894D0E">
        <w:rPr>
          <w:rFonts w:ascii="Times New Roman" w:eastAsia="彩虹粗仿宋" w:hAnsi="Times New Roman"/>
          <w:sz w:val="24"/>
          <w:szCs w:val="24"/>
          <w:lang w:eastAsia="zh-CN"/>
        </w:rPr>
        <w:t>s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). As a result, the Bank has achieved continuous improvement of asset quality this year. As at the end of September 2016, the Bank posted NPLs of </w:t>
      </w:r>
      <w:r w:rsidR="00F35E60" w:rsidRPr="00894D0E">
        <w:rPr>
          <w:rFonts w:ascii="Times New Roman" w:eastAsia="彩虹粗仿宋" w:hAnsi="Times New Roman"/>
          <w:sz w:val="24"/>
          <w:szCs w:val="24"/>
          <w:lang w:eastAsia="zh-CN"/>
        </w:rPr>
        <w:t>RMB</w:t>
      </w:r>
      <w:r w:rsidR="003B43AB" w:rsidRPr="00894D0E">
        <w:rPr>
          <w:rFonts w:ascii="Times New Roman" w:eastAsia="彩虹粗仿宋" w:hAnsi="Times New Roman"/>
          <w:b/>
          <w:color w:val="FF0000"/>
          <w:sz w:val="24"/>
          <w:szCs w:val="24"/>
          <w:lang w:eastAsia="zh-CN"/>
        </w:rPr>
        <w:t>179,727</w:t>
      </w:r>
      <w:r w:rsidR="00F35E60"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 million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>, or a NPL ratio of</w:t>
      </w:r>
      <w:r w:rsidR="003B43AB" w:rsidRPr="00894D0E">
        <w:rPr>
          <w:rFonts w:ascii="Times New Roman" w:eastAsia="彩虹粗仿宋" w:hAnsi="Times New Roman"/>
          <w:b/>
          <w:color w:val="FF0000"/>
          <w:sz w:val="24"/>
          <w:szCs w:val="24"/>
          <w:lang w:eastAsia="zh-CN"/>
        </w:rPr>
        <w:t xml:space="preserve"> 1.56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% in accordance with the five-category loan classification standard, down by </w:t>
      </w:r>
      <w:r w:rsidR="003B43AB" w:rsidRPr="00894D0E">
        <w:rPr>
          <w:rFonts w:ascii="Times New Roman" w:eastAsia="彩虹粗仿宋" w:hAnsi="Times New Roman"/>
          <w:b/>
          <w:color w:val="FF0000"/>
          <w:sz w:val="24"/>
          <w:szCs w:val="24"/>
          <w:lang w:eastAsia="zh-CN"/>
        </w:rPr>
        <w:t>0.02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 percentage points from the end of 2015; the ratio of allowances to NPLs stood at </w:t>
      </w:r>
      <w:r w:rsidR="003B43AB" w:rsidRPr="00894D0E">
        <w:rPr>
          <w:rFonts w:ascii="Times New Roman" w:eastAsia="彩虹粗仿宋" w:hAnsi="Times New Roman"/>
          <w:b/>
          <w:color w:val="FF0000"/>
          <w:sz w:val="24"/>
          <w:szCs w:val="24"/>
          <w:lang w:eastAsia="zh-CN"/>
        </w:rPr>
        <w:t>148.78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%, down by </w:t>
      </w:r>
      <w:r w:rsidR="003B43AB" w:rsidRPr="00894D0E">
        <w:rPr>
          <w:rFonts w:ascii="Times New Roman" w:eastAsia="彩虹粗仿宋" w:hAnsi="Times New Roman"/>
          <w:b/>
          <w:color w:val="FF0000"/>
          <w:sz w:val="24"/>
          <w:szCs w:val="24"/>
          <w:lang w:eastAsia="zh-CN"/>
        </w:rPr>
        <w:t>2.21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 percentage points from the end of 2015.</w:t>
      </w:r>
      <w:r w:rsidR="003B43AB"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 </w:t>
      </w:r>
    </w:p>
    <w:p w14:paraId="3AF9FF75" w14:textId="77777777" w:rsidR="00894D0E" w:rsidRDefault="00894D0E" w:rsidP="00894D0E">
      <w:pPr>
        <w:pStyle w:val="BodyText"/>
        <w:spacing w:before="0" w:after="0" w:line="400" w:lineRule="exact"/>
        <w:rPr>
          <w:rFonts w:ascii="Times New Roman" w:eastAsia="彩虹粗仿宋" w:hAnsi="Times New Roman"/>
          <w:sz w:val="24"/>
          <w:szCs w:val="24"/>
          <w:lang w:eastAsia="zh-CN"/>
        </w:rPr>
      </w:pPr>
    </w:p>
    <w:p w14:paraId="6DAEE4C8" w14:textId="4EA4D26A" w:rsidR="00C1672F" w:rsidRPr="00894D0E" w:rsidRDefault="00C1672F" w:rsidP="00894D0E">
      <w:pPr>
        <w:pStyle w:val="BodyText"/>
        <w:spacing w:before="0" w:after="0" w:line="400" w:lineRule="exact"/>
        <w:rPr>
          <w:rFonts w:ascii="Times New Roman" w:eastAsia="彩虹粗仿宋" w:hAnsi="Times New Roman"/>
          <w:sz w:val="24"/>
          <w:szCs w:val="24"/>
          <w:lang w:eastAsia="zh-CN"/>
        </w:rPr>
      </w:pP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>Accordin</w:t>
      </w:r>
      <w:r w:rsidR="00B723D2" w:rsidRPr="00894D0E">
        <w:rPr>
          <w:rFonts w:ascii="Times New Roman" w:eastAsia="彩虹粗仿宋" w:hAnsi="Times New Roman"/>
          <w:sz w:val="24"/>
          <w:szCs w:val="24"/>
          <w:lang w:eastAsia="zh-CN"/>
        </w:rPr>
        <w:t>g to the Bank’s quarterly results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, as at 30 September 2016, the Bank’s capital adequacy ratio was </w:t>
      </w:r>
      <w:r w:rsidR="003B43AB" w:rsidRPr="00894D0E">
        <w:rPr>
          <w:rFonts w:ascii="Times New Roman" w:eastAsia="彩虹粗仿宋" w:hAnsi="Times New Roman"/>
          <w:b/>
          <w:color w:val="FF0000"/>
          <w:sz w:val="24"/>
          <w:szCs w:val="24"/>
          <w:lang w:eastAsia="zh-CN"/>
        </w:rPr>
        <w:t>15.36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>%, tier</w:t>
      </w:r>
      <w:r w:rsidR="005A3249" w:rsidRPr="00894D0E">
        <w:rPr>
          <w:rFonts w:ascii="Times New Roman" w:eastAsia="彩虹粗仿宋" w:hAnsi="Times New Roman"/>
          <w:sz w:val="24"/>
          <w:szCs w:val="24"/>
          <w:lang w:eastAsia="zh-CN"/>
        </w:rPr>
        <w:t>-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one capital adequacy ratio was </w:t>
      </w:r>
      <w:r w:rsidR="003B43AB" w:rsidRPr="00894D0E">
        <w:rPr>
          <w:rFonts w:ascii="Times New Roman" w:eastAsia="彩虹粗仿宋" w:hAnsi="Times New Roman"/>
          <w:b/>
          <w:color w:val="FF0000"/>
          <w:sz w:val="24"/>
          <w:szCs w:val="24"/>
          <w:lang w:eastAsia="zh-CN"/>
        </w:rPr>
        <w:t>13.54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>%, and common equity tier</w:t>
      </w:r>
      <w:r w:rsidR="005A3249" w:rsidRPr="00894D0E">
        <w:rPr>
          <w:rFonts w:ascii="Times New Roman" w:eastAsia="彩虹粗仿宋" w:hAnsi="Times New Roman"/>
          <w:sz w:val="24"/>
          <w:szCs w:val="24"/>
          <w:lang w:eastAsia="zh-CN"/>
        </w:rPr>
        <w:t>-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one ratio was </w:t>
      </w:r>
      <w:r w:rsidR="003B43AB" w:rsidRPr="00894D0E">
        <w:rPr>
          <w:rFonts w:ascii="Times New Roman" w:eastAsia="彩虹粗仿宋" w:hAnsi="Times New Roman"/>
          <w:b/>
          <w:color w:val="FF0000"/>
          <w:sz w:val="24"/>
          <w:szCs w:val="24"/>
          <w:lang w:eastAsia="zh-CN"/>
        </w:rPr>
        <w:t>13.37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%. All ratios met the regulatory requirements. </w:t>
      </w:r>
    </w:p>
    <w:p w14:paraId="23C9FE01" w14:textId="77777777" w:rsidR="00894D0E" w:rsidRDefault="00894D0E" w:rsidP="00894D0E">
      <w:pPr>
        <w:pStyle w:val="BodyText"/>
        <w:spacing w:before="0" w:after="0" w:line="400" w:lineRule="exact"/>
        <w:rPr>
          <w:rFonts w:ascii="Times New Roman" w:eastAsia="彩虹粗仿宋" w:hAnsi="Times New Roman"/>
          <w:sz w:val="24"/>
          <w:szCs w:val="24"/>
          <w:lang w:eastAsia="zh-CN"/>
        </w:rPr>
      </w:pPr>
    </w:p>
    <w:p w14:paraId="698BB721" w14:textId="3C28FE35" w:rsidR="00635FB0" w:rsidRPr="00894D0E" w:rsidRDefault="001E6085" w:rsidP="00894D0E">
      <w:pPr>
        <w:pStyle w:val="BodyText"/>
        <w:spacing w:before="0" w:after="0" w:line="400" w:lineRule="exact"/>
        <w:rPr>
          <w:rFonts w:ascii="Times New Roman" w:eastAsia="彩虹粗仿宋" w:hAnsi="Times New Roman"/>
          <w:sz w:val="24"/>
          <w:szCs w:val="24"/>
          <w:lang w:eastAsia="zh-CN"/>
        </w:rPr>
      </w:pP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>Overall,</w:t>
      </w:r>
      <w:r w:rsidR="00514E11"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 the Bank continued to facilitate strategic transformation and </w:t>
      </w:r>
      <w:r w:rsidR="00453FD1"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saw strong growth dynamics unleashed by the transformation. With the transformation continuing to take effect, the Bank </w:t>
      </w:r>
      <w:r w:rsidRPr="00894D0E">
        <w:rPr>
          <w:rFonts w:ascii="Times New Roman" w:eastAsia="彩虹粗仿宋" w:hAnsi="Times New Roman"/>
          <w:sz w:val="24"/>
          <w:szCs w:val="24"/>
          <w:lang w:eastAsia="zh-CN"/>
        </w:rPr>
        <w:t>delivered</w:t>
      </w:r>
      <w:r w:rsidR="00453FD1"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 outstanding operation results in the third quarter</w:t>
      </w:r>
      <w:r w:rsidR="00762C82" w:rsidRPr="00894D0E">
        <w:rPr>
          <w:rFonts w:ascii="Times New Roman" w:eastAsia="彩虹粗仿宋" w:hAnsi="Times New Roman"/>
          <w:sz w:val="24"/>
          <w:szCs w:val="24"/>
          <w:lang w:eastAsia="zh-CN"/>
        </w:rPr>
        <w:t>. For</w:t>
      </w:r>
      <w:r w:rsidR="00635FB0"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 the next step, the Bank will </w:t>
      </w:r>
      <w:r w:rsidR="00762C82" w:rsidRPr="00894D0E">
        <w:rPr>
          <w:rFonts w:ascii="Times New Roman" w:eastAsia="彩虹粗仿宋" w:hAnsi="Times New Roman"/>
          <w:sz w:val="24"/>
          <w:szCs w:val="24"/>
          <w:lang w:eastAsia="zh-CN"/>
        </w:rPr>
        <w:t>align itself to China’s 13</w:t>
      </w:r>
      <w:r w:rsidR="00762C82" w:rsidRPr="00894D0E">
        <w:rPr>
          <w:rFonts w:ascii="Times New Roman" w:eastAsia="彩虹粗仿宋" w:hAnsi="Times New Roman"/>
          <w:sz w:val="24"/>
          <w:szCs w:val="24"/>
          <w:vertAlign w:val="superscript"/>
          <w:lang w:eastAsia="zh-CN"/>
        </w:rPr>
        <w:t>th</w:t>
      </w:r>
      <w:r w:rsidR="00635FB0"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 Five-Year Plan</w:t>
      </w:r>
      <w:r w:rsidR="00A56D62"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, push forward the strategic transformation with greater depth and breadth, and </w:t>
      </w:r>
      <w:r w:rsidR="00635FB0"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leverage its </w:t>
      </w:r>
      <w:r w:rsidR="00762C82" w:rsidRPr="00894D0E">
        <w:rPr>
          <w:rFonts w:ascii="Times New Roman" w:eastAsia="彩虹粗仿宋" w:hAnsi="Times New Roman"/>
          <w:sz w:val="24"/>
          <w:szCs w:val="24"/>
          <w:lang w:eastAsia="zh-CN"/>
        </w:rPr>
        <w:t>capabilities and strengths</w:t>
      </w:r>
      <w:r w:rsidR="00635FB0"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 to fuel </w:t>
      </w:r>
      <w:r w:rsidR="00762C82"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the growth of </w:t>
      </w:r>
      <w:r w:rsidR="00635FB0"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the country’s real </w:t>
      </w:r>
      <w:r w:rsidR="00762C82" w:rsidRPr="00894D0E">
        <w:rPr>
          <w:rFonts w:ascii="Times New Roman" w:eastAsia="彩虹粗仿宋" w:hAnsi="Times New Roman"/>
          <w:sz w:val="24"/>
          <w:szCs w:val="24"/>
          <w:lang w:eastAsia="zh-CN"/>
        </w:rPr>
        <w:t>economy.</w:t>
      </w:r>
      <w:r w:rsidR="00635FB0"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 By building new competitive ad</w:t>
      </w:r>
      <w:r w:rsidR="00762C82" w:rsidRPr="00894D0E">
        <w:rPr>
          <w:rFonts w:ascii="Times New Roman" w:eastAsia="彩虹粗仿宋" w:hAnsi="Times New Roman"/>
          <w:sz w:val="24"/>
          <w:szCs w:val="24"/>
          <w:lang w:eastAsia="zh-CN"/>
        </w:rPr>
        <w:t>vantages</w:t>
      </w:r>
      <w:r w:rsidR="00635FB0"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, the Bank will accelerate </w:t>
      </w:r>
      <w:r w:rsidR="00762C82" w:rsidRPr="00894D0E">
        <w:rPr>
          <w:rFonts w:ascii="Times New Roman" w:eastAsia="彩虹粗仿宋" w:hAnsi="Times New Roman"/>
          <w:sz w:val="24"/>
          <w:szCs w:val="24"/>
          <w:lang w:eastAsia="zh-CN"/>
        </w:rPr>
        <w:t xml:space="preserve">its development into a </w:t>
      </w:r>
      <w:r w:rsidR="00635FB0" w:rsidRPr="00894D0E">
        <w:rPr>
          <w:rFonts w:ascii="Times New Roman" w:eastAsia="彩虹粗仿宋" w:hAnsi="Times New Roman"/>
          <w:sz w:val="24"/>
          <w:szCs w:val="24"/>
          <w:lang w:eastAsia="zh-CN"/>
        </w:rPr>
        <w:t>first-class international banking group that creates the best value.</w:t>
      </w:r>
    </w:p>
    <w:p w14:paraId="2339BD30" w14:textId="77777777" w:rsidR="00B37945" w:rsidRDefault="00B37945" w:rsidP="00894D0E">
      <w:pPr>
        <w:pStyle w:val="BodyText"/>
        <w:spacing w:before="0" w:after="0" w:line="400" w:lineRule="exact"/>
        <w:jc w:val="left"/>
        <w:rPr>
          <w:rFonts w:ascii="Times New Roman" w:eastAsia="彩虹粗仿宋" w:hAnsi="Times New Roman"/>
          <w:sz w:val="24"/>
          <w:szCs w:val="24"/>
          <w:lang w:eastAsia="zh-CN"/>
        </w:rPr>
      </w:pPr>
    </w:p>
    <w:p w14:paraId="1849EEA0" w14:textId="675431E9" w:rsidR="00894D0E" w:rsidRPr="00281BF2" w:rsidRDefault="00894D0E" w:rsidP="00894D0E">
      <w:pPr>
        <w:pStyle w:val="BodyText"/>
        <w:spacing w:before="0" w:after="0" w:line="440" w:lineRule="exact"/>
        <w:jc w:val="left"/>
        <w:rPr>
          <w:rFonts w:ascii="Times New Roman" w:eastAsiaTheme="minorEastAsia" w:hAnsi="Times New Roman" w:hint="eastAsia"/>
          <w:b/>
          <w:sz w:val="24"/>
          <w:szCs w:val="24"/>
          <w:lang w:eastAsia="zh-CN"/>
        </w:rPr>
      </w:pPr>
      <w:r>
        <w:rPr>
          <w:rFonts w:ascii="Times New Roman" w:eastAsiaTheme="minorEastAsia" w:hAnsi="Times New Roman" w:hint="eastAsia"/>
          <w:b/>
          <w:sz w:val="24"/>
          <w:szCs w:val="24"/>
          <w:lang w:eastAsia="zh-CN"/>
        </w:rPr>
        <w:t>F</w:t>
      </w:r>
      <w:r>
        <w:rPr>
          <w:rFonts w:ascii="Times New Roman" w:eastAsiaTheme="minorEastAsia" w:hAnsi="Times New Roman"/>
          <w:b/>
          <w:sz w:val="24"/>
          <w:szCs w:val="24"/>
          <w:lang w:eastAsia="zh-CN"/>
        </w:rPr>
        <w:t>or media inquiry, please contact</w:t>
      </w:r>
      <w:r w:rsidRPr="00281BF2">
        <w:rPr>
          <w:rFonts w:ascii="Times New Roman" w:eastAsiaTheme="minorEastAsia" w:hAnsi="Times New Roman" w:hint="eastAsia"/>
          <w:b/>
          <w:sz w:val="24"/>
          <w:szCs w:val="24"/>
          <w:lang w:eastAsia="zh-CN"/>
        </w:rPr>
        <w:t>：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4160"/>
      </w:tblGrid>
      <w:tr w:rsidR="00894D0E" w14:paraId="6390A0E7" w14:textId="77777777" w:rsidTr="00894D0E">
        <w:tc>
          <w:tcPr>
            <w:tcW w:w="4261" w:type="dxa"/>
          </w:tcPr>
          <w:p w14:paraId="45E10509" w14:textId="5D5A75A2" w:rsidR="00894D0E" w:rsidRPr="00281BF2" w:rsidRDefault="00894D0E" w:rsidP="00894D0E">
            <w:pPr>
              <w:pStyle w:val="BodyText"/>
              <w:spacing w:before="0" w:after="0"/>
              <w:ind w:leftChars="-51" w:left="-1" w:hangingChars="46" w:hanging="111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b/>
                <w:sz w:val="24"/>
                <w:szCs w:val="24"/>
                <w:lang w:eastAsia="zh-CN"/>
              </w:rPr>
              <w:t>China Construction Bank</w:t>
            </w:r>
          </w:p>
          <w:p w14:paraId="440F9902" w14:textId="241DE1E8" w:rsidR="00894D0E" w:rsidRDefault="00894D0E" w:rsidP="00894D0E">
            <w:pPr>
              <w:pStyle w:val="BodyText"/>
              <w:spacing w:before="0" w:after="0"/>
              <w:ind w:leftChars="-51" w:left="-2" w:hangingChars="46" w:hanging="110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Li Chengyang</w:t>
            </w:r>
          </w:p>
          <w:p w14:paraId="256DB9D8" w14:textId="2521CBED" w:rsidR="00894D0E" w:rsidRDefault="00894D0E" w:rsidP="00894D0E">
            <w:pPr>
              <w:pStyle w:val="BodyText"/>
              <w:spacing w:before="0" w:after="0"/>
              <w:ind w:leftChars="-51" w:left="-2" w:hangingChars="46" w:hanging="110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Desk: 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+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86 10 </w:t>
            </w:r>
            <w:r w:rsidRPr="00281BF2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67597531</w:t>
            </w:r>
          </w:p>
          <w:p w14:paraId="7D7F5E52" w14:textId="372649D0" w:rsidR="00894D0E" w:rsidRDefault="00894D0E" w:rsidP="00894D0E">
            <w:pPr>
              <w:pStyle w:val="BodyText"/>
              <w:spacing w:before="0" w:after="0"/>
              <w:ind w:leftChars="-51" w:left="-2" w:hangingChars="46" w:hanging="110"/>
              <w:jc w:val="left"/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E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mail: </w:t>
            </w:r>
            <w:hyperlink r:id="rId8" w:history="1">
              <w:r w:rsidRPr="004C3032">
                <w:rPr>
                  <w:rStyle w:val="Hyperlink"/>
                  <w:rFonts w:ascii="Times New Roman" w:eastAsiaTheme="minorEastAsia" w:hAnsi="Times New Roman"/>
                  <w:sz w:val="24"/>
                  <w:szCs w:val="24"/>
                  <w:lang w:eastAsia="zh-CN"/>
                </w:rPr>
                <w:t>lichengyang.zh@ccb.com</w:t>
              </w:r>
            </w:hyperlink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261" w:type="dxa"/>
          </w:tcPr>
          <w:p w14:paraId="1A525B3D" w14:textId="4347383C" w:rsidR="00894D0E" w:rsidRPr="00281BF2" w:rsidRDefault="00894D0E" w:rsidP="00894D0E">
            <w:pPr>
              <w:pStyle w:val="BodyText"/>
              <w:spacing w:before="0" w:after="0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b/>
                <w:sz w:val="24"/>
                <w:szCs w:val="24"/>
                <w:lang w:eastAsia="zh-CN"/>
              </w:rPr>
              <w:t>Edelman</w:t>
            </w:r>
          </w:p>
          <w:p w14:paraId="6482F8EB" w14:textId="61B115D2" w:rsidR="00894D0E" w:rsidRDefault="00894D0E" w:rsidP="00894D0E">
            <w:pPr>
              <w:pStyle w:val="BodyText"/>
              <w:spacing w:before="0" w:after="0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Angel Hui</w:t>
            </w:r>
          </w:p>
          <w:p w14:paraId="0F942D56" w14:textId="093BEAEA" w:rsidR="00894D0E" w:rsidRDefault="00894D0E" w:rsidP="00894D0E">
            <w:pPr>
              <w:pStyle w:val="BodyText"/>
              <w:spacing w:before="0" w:after="0"/>
              <w:jc w:val="left"/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Desk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: 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+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852 </w:t>
            </w:r>
            <w:r w:rsidRPr="00281BF2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2837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</w:t>
            </w:r>
            <w:r w:rsidRPr="00281BF2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4721</w:t>
            </w:r>
          </w:p>
          <w:p w14:paraId="429BE72D" w14:textId="3626EE21" w:rsidR="00894D0E" w:rsidRDefault="00894D0E" w:rsidP="00894D0E">
            <w:pPr>
              <w:pStyle w:val="BodyText"/>
              <w:spacing w:before="0" w:after="0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E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mail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 xml:space="preserve">: </w:t>
            </w:r>
            <w:hyperlink r:id="rId9" w:history="1">
              <w:r w:rsidRPr="004C3032">
                <w:rPr>
                  <w:rStyle w:val="Hyperlink"/>
                  <w:rFonts w:ascii="Times New Roman" w:eastAsiaTheme="minorEastAsia" w:hAnsi="Times New Roman"/>
                  <w:sz w:val="24"/>
                  <w:szCs w:val="24"/>
                  <w:lang w:eastAsia="zh-CN"/>
                </w:rPr>
                <w:t>angela.hui@edelman.com</w:t>
              </w:r>
            </w:hyperlink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</w:t>
            </w:r>
          </w:p>
          <w:p w14:paraId="72008642" w14:textId="77777777" w:rsidR="00894D0E" w:rsidRDefault="00894D0E" w:rsidP="00894D0E">
            <w:pPr>
              <w:pStyle w:val="BodyText"/>
              <w:spacing w:before="0" w:after="0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14:paraId="192B74CF" w14:textId="15918A34" w:rsidR="00894D0E" w:rsidRDefault="00894D0E" w:rsidP="00894D0E">
            <w:pPr>
              <w:pStyle w:val="BodyText"/>
              <w:spacing w:before="0" w:after="0"/>
              <w:jc w:val="left"/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Elizabeth Xu</w:t>
            </w:r>
          </w:p>
          <w:p w14:paraId="332CF328" w14:textId="3066DD53" w:rsidR="00894D0E" w:rsidRDefault="00894D0E" w:rsidP="00894D0E">
            <w:pPr>
              <w:pStyle w:val="BodyText"/>
              <w:spacing w:before="0" w:after="0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Desk: 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+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86 10 5676 8715</w:t>
            </w:r>
          </w:p>
          <w:p w14:paraId="5E7903B8" w14:textId="4AA302C9" w:rsidR="00894D0E" w:rsidRDefault="00894D0E" w:rsidP="00894D0E">
            <w:pPr>
              <w:pStyle w:val="BodyText"/>
              <w:spacing w:before="0" w:after="0"/>
              <w:jc w:val="left"/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E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mail: </w:t>
            </w:r>
            <w:hyperlink r:id="rId10" w:history="1">
              <w:r w:rsidRPr="004C3032">
                <w:rPr>
                  <w:rStyle w:val="Hyperlink"/>
                  <w:rFonts w:ascii="Times New Roman" w:eastAsiaTheme="minorEastAsia" w:hAnsi="Times New Roman"/>
                  <w:sz w:val="24"/>
                  <w:szCs w:val="24"/>
                  <w:lang w:eastAsia="zh-CN"/>
                </w:rPr>
                <w:t>elizabeth.xu@edelman.com</w:t>
              </w:r>
            </w:hyperlink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14:paraId="17221F51" w14:textId="77777777" w:rsidR="00894D0E" w:rsidRPr="00894D0E" w:rsidRDefault="00894D0E" w:rsidP="00894D0E">
      <w:pPr>
        <w:pStyle w:val="BodyText"/>
        <w:spacing w:before="0" w:after="0" w:line="400" w:lineRule="exact"/>
        <w:jc w:val="left"/>
        <w:rPr>
          <w:rFonts w:ascii="Times New Roman" w:eastAsia="彩虹粗仿宋" w:hAnsi="Times New Roman" w:hint="eastAsia"/>
          <w:sz w:val="24"/>
          <w:szCs w:val="24"/>
          <w:lang w:eastAsia="zh-CN"/>
        </w:rPr>
      </w:pPr>
    </w:p>
    <w:sectPr w:rsidR="00894D0E" w:rsidRPr="00894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7323C" w14:textId="77777777" w:rsidR="00936ECE" w:rsidRDefault="00936ECE" w:rsidP="00003202">
      <w:r>
        <w:separator/>
      </w:r>
    </w:p>
  </w:endnote>
  <w:endnote w:type="continuationSeparator" w:id="0">
    <w:p w14:paraId="422EDC34" w14:textId="77777777" w:rsidR="00936ECE" w:rsidRDefault="00936ECE" w:rsidP="0000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彩虹粗仿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28E87" w14:textId="77777777" w:rsidR="00936ECE" w:rsidRDefault="00936ECE" w:rsidP="00003202">
      <w:r>
        <w:separator/>
      </w:r>
    </w:p>
  </w:footnote>
  <w:footnote w:type="continuationSeparator" w:id="0">
    <w:p w14:paraId="6FFC104B" w14:textId="77777777" w:rsidR="00936ECE" w:rsidRDefault="00936ECE" w:rsidP="0000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D08C9"/>
    <w:multiLevelType w:val="hybridMultilevel"/>
    <w:tmpl w:val="2146C7BE"/>
    <w:lvl w:ilvl="0" w:tplc="FA66C4EC">
      <w:numFmt w:val="bullet"/>
      <w:lvlText w:val="-"/>
      <w:lvlJc w:val="left"/>
      <w:pPr>
        <w:ind w:left="840" w:hanging="360"/>
      </w:pPr>
      <w:rPr>
        <w:rFonts w:ascii="彩虹粗仿宋" w:eastAsia="彩虹粗仿宋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6E"/>
    <w:rsid w:val="00003202"/>
    <w:rsid w:val="00014123"/>
    <w:rsid w:val="0004423A"/>
    <w:rsid w:val="000543C0"/>
    <w:rsid w:val="00077515"/>
    <w:rsid w:val="000A7BED"/>
    <w:rsid w:val="000F16D0"/>
    <w:rsid w:val="000F7ED1"/>
    <w:rsid w:val="00186A31"/>
    <w:rsid w:val="001B0E3B"/>
    <w:rsid w:val="001C494F"/>
    <w:rsid w:val="001D21C6"/>
    <w:rsid w:val="001E04EE"/>
    <w:rsid w:val="001E6085"/>
    <w:rsid w:val="00224955"/>
    <w:rsid w:val="00241BD9"/>
    <w:rsid w:val="00253F55"/>
    <w:rsid w:val="00264665"/>
    <w:rsid w:val="00343F3C"/>
    <w:rsid w:val="003447F9"/>
    <w:rsid w:val="00354143"/>
    <w:rsid w:val="00376ADB"/>
    <w:rsid w:val="003B43AB"/>
    <w:rsid w:val="003F2983"/>
    <w:rsid w:val="00403B05"/>
    <w:rsid w:val="0045211D"/>
    <w:rsid w:val="00453FD1"/>
    <w:rsid w:val="004961E0"/>
    <w:rsid w:val="004A6D83"/>
    <w:rsid w:val="004B61DF"/>
    <w:rsid w:val="00514E11"/>
    <w:rsid w:val="005249FF"/>
    <w:rsid w:val="00586593"/>
    <w:rsid w:val="005A3249"/>
    <w:rsid w:val="005E6597"/>
    <w:rsid w:val="005F73F1"/>
    <w:rsid w:val="00635FB0"/>
    <w:rsid w:val="00651BAE"/>
    <w:rsid w:val="0068126E"/>
    <w:rsid w:val="00715F3D"/>
    <w:rsid w:val="007311D0"/>
    <w:rsid w:val="00762C82"/>
    <w:rsid w:val="007652ED"/>
    <w:rsid w:val="00791566"/>
    <w:rsid w:val="007A07FE"/>
    <w:rsid w:val="007D5664"/>
    <w:rsid w:val="007F14FA"/>
    <w:rsid w:val="00811BCD"/>
    <w:rsid w:val="008474C3"/>
    <w:rsid w:val="008536CD"/>
    <w:rsid w:val="00863317"/>
    <w:rsid w:val="00882968"/>
    <w:rsid w:val="00894D0E"/>
    <w:rsid w:val="008C19E4"/>
    <w:rsid w:val="009000A6"/>
    <w:rsid w:val="009320E5"/>
    <w:rsid w:val="00936ECE"/>
    <w:rsid w:val="009667B5"/>
    <w:rsid w:val="0097176D"/>
    <w:rsid w:val="00A0762A"/>
    <w:rsid w:val="00A24690"/>
    <w:rsid w:val="00A56D62"/>
    <w:rsid w:val="00A63540"/>
    <w:rsid w:val="00A87AEB"/>
    <w:rsid w:val="00A96015"/>
    <w:rsid w:val="00AC7471"/>
    <w:rsid w:val="00B37945"/>
    <w:rsid w:val="00B464E6"/>
    <w:rsid w:val="00B723D2"/>
    <w:rsid w:val="00B93150"/>
    <w:rsid w:val="00BB1452"/>
    <w:rsid w:val="00BB5A8C"/>
    <w:rsid w:val="00C00BE5"/>
    <w:rsid w:val="00C10BC0"/>
    <w:rsid w:val="00C1672F"/>
    <w:rsid w:val="00C34C45"/>
    <w:rsid w:val="00C8474A"/>
    <w:rsid w:val="00C86CDB"/>
    <w:rsid w:val="00CE759D"/>
    <w:rsid w:val="00D349D8"/>
    <w:rsid w:val="00D36CA0"/>
    <w:rsid w:val="00D84300"/>
    <w:rsid w:val="00D85EEA"/>
    <w:rsid w:val="00D95EF8"/>
    <w:rsid w:val="00DD113A"/>
    <w:rsid w:val="00DE6110"/>
    <w:rsid w:val="00E175B0"/>
    <w:rsid w:val="00E67990"/>
    <w:rsid w:val="00E85D5B"/>
    <w:rsid w:val="00F35E60"/>
    <w:rsid w:val="00F9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7657D"/>
  <w15:docId w15:val="{8F192B45-8401-47C3-AF55-46E1B704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26E"/>
    <w:rPr>
      <w:rFonts w:ascii="Times New Roman" w:eastAsia="华文楷体" w:hAnsi="Times New Roman" w:cs="Times New Roman"/>
      <w:kern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oncepto,bt,Body Text - Level 2,BT,b,body indent,Appendix1,Body,by,o,bt wide,Concepto1,bt1,Body Text - Level 21,BT1,b1,body indent1,Appendix11,Body1,by1,o1,bt wide1,Concepto2,bt2,Body Text - Level 22,BT2,b2,body indent2,Appendix12,Body2,by2,o2"/>
    <w:basedOn w:val="Normal"/>
    <w:link w:val="BodyTextChar"/>
    <w:rsid w:val="0068126E"/>
    <w:pPr>
      <w:spacing w:before="130" w:after="130"/>
      <w:jc w:val="both"/>
    </w:pPr>
    <w:rPr>
      <w:rFonts w:ascii="Tms Rmn" w:hAnsi="Tms Rmn"/>
    </w:rPr>
  </w:style>
  <w:style w:type="character" w:customStyle="1" w:styleId="BodyTextChar">
    <w:name w:val="Body Text Char"/>
    <w:aliases w:val="Concepto Char,bt Char,Body Text - Level 2 Char,BT Char,b Char,body indent Char,Appendix1 Char,Body Char,by Char,o Char,bt wide Char,Concepto1 Char,bt1 Char,Body Text - Level 21 Char,BT1 Char,b1 Char,body indent1 Char,Appendix11 Char"/>
    <w:basedOn w:val="DefaultParagraphFont"/>
    <w:link w:val="BodyText"/>
    <w:rsid w:val="0068126E"/>
    <w:rPr>
      <w:rFonts w:ascii="Tms Rmn" w:eastAsia="华文楷体" w:hAnsi="Tms Rmn" w:cs="Times New Roman"/>
      <w:kern w:val="0"/>
      <w:sz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003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03202"/>
    <w:rPr>
      <w:rFonts w:ascii="Times New Roman" w:eastAsia="华文楷体" w:hAnsi="Times New Roman" w:cs="Times New Roman"/>
      <w:kern w:val="0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0320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03202"/>
    <w:rPr>
      <w:rFonts w:ascii="Times New Roman" w:eastAsia="华文楷体" w:hAnsi="Times New Roman" w:cs="Times New Roman"/>
      <w:kern w:val="0"/>
      <w:sz w:val="18"/>
      <w:szCs w:val="1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59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597"/>
    <w:rPr>
      <w:rFonts w:ascii="Times New Roman" w:eastAsia="华文楷体" w:hAnsi="Times New Roman" w:cs="Times New Roman"/>
      <w:kern w:val="0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6597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59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597"/>
    <w:rPr>
      <w:rFonts w:ascii="Times New Roman" w:eastAsia="华文楷体" w:hAnsi="Times New Roman" w:cs="Times New Roman"/>
      <w:kern w:val="0"/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597"/>
    <w:rPr>
      <w:rFonts w:ascii="Times New Roman" w:eastAsia="华文楷体" w:hAnsi="Times New Roman" w:cs="Times New Roman"/>
      <w:b/>
      <w:bCs/>
      <w:kern w:val="0"/>
      <w:sz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5E65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4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hengyang.zh@ccb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lizabeth.xu@edelm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gela.hui@edelman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张天</dc:creator>
  <cp:lastModifiedBy>Yao, Adrian</cp:lastModifiedBy>
  <cp:revision>8</cp:revision>
  <dcterms:created xsi:type="dcterms:W3CDTF">2016-10-26T09:20:00Z</dcterms:created>
  <dcterms:modified xsi:type="dcterms:W3CDTF">2016-10-27T11:24:00Z</dcterms:modified>
</cp:coreProperties>
</file>