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5E136" w14:textId="77777777" w:rsidR="007359AB" w:rsidRPr="00872F0A" w:rsidRDefault="007359AB" w:rsidP="005924BD">
      <w:pPr>
        <w:adjustRightInd w:val="0"/>
        <w:snapToGrid w:val="0"/>
        <w:spacing w:line="360" w:lineRule="exact"/>
        <w:rPr>
          <w:rFonts w:eastAsia="彩虹小标宋"/>
          <w:b/>
          <w:bCs/>
          <w:u w:val="single"/>
        </w:rPr>
      </w:pPr>
      <w:r w:rsidRPr="00872F0A">
        <w:rPr>
          <w:rFonts w:eastAsia="彩虹小标宋"/>
          <w:b/>
          <w:bCs/>
          <w:u w:val="single"/>
        </w:rPr>
        <w:t>Press release</w:t>
      </w:r>
    </w:p>
    <w:p w14:paraId="4F3D9428" w14:textId="77777777" w:rsidR="007359AB" w:rsidRPr="00872F0A" w:rsidRDefault="007359AB" w:rsidP="005924BD">
      <w:pPr>
        <w:adjustRightInd w:val="0"/>
        <w:snapToGrid w:val="0"/>
        <w:spacing w:line="360" w:lineRule="exact"/>
        <w:rPr>
          <w:rFonts w:eastAsia="彩虹小标宋"/>
        </w:rPr>
      </w:pPr>
    </w:p>
    <w:p w14:paraId="08699D93" w14:textId="5D00A647" w:rsidR="007359AB" w:rsidRPr="00872F0A" w:rsidRDefault="007359AB" w:rsidP="005924BD">
      <w:pPr>
        <w:adjustRightInd w:val="0"/>
        <w:snapToGrid w:val="0"/>
        <w:spacing w:line="360" w:lineRule="exact"/>
        <w:rPr>
          <w:rFonts w:eastAsia="彩虹小标宋"/>
        </w:rPr>
      </w:pPr>
      <w:r w:rsidRPr="00872F0A">
        <w:rPr>
          <w:rFonts w:eastAsia="彩虹小标宋"/>
        </w:rPr>
        <w:t>For immediate distribution</w:t>
      </w:r>
    </w:p>
    <w:p w14:paraId="7CF7E22F" w14:textId="7043F938" w:rsidR="00651BC2" w:rsidRPr="005D546D" w:rsidRDefault="00651BC2" w:rsidP="005924BD">
      <w:pPr>
        <w:adjustRightInd w:val="0"/>
        <w:snapToGrid w:val="0"/>
        <w:spacing w:line="360" w:lineRule="exact"/>
        <w:rPr>
          <w:rFonts w:ascii="Arial" w:eastAsia="彩虹小标宋" w:hAnsi="Arial" w:cs="Arial"/>
        </w:rPr>
      </w:pPr>
    </w:p>
    <w:p w14:paraId="56CEB81D" w14:textId="77777777" w:rsidR="007359AB" w:rsidRPr="005D546D" w:rsidRDefault="007359AB" w:rsidP="005924BD">
      <w:pPr>
        <w:adjustRightInd w:val="0"/>
        <w:snapToGrid w:val="0"/>
        <w:spacing w:line="360" w:lineRule="exact"/>
        <w:rPr>
          <w:rFonts w:eastAsia="彩虹小标宋"/>
          <w:sz w:val="28"/>
          <w:szCs w:val="28"/>
          <w:lang w:eastAsia="zh-CN"/>
        </w:rPr>
      </w:pPr>
    </w:p>
    <w:p w14:paraId="2416E57D" w14:textId="52FF0982" w:rsidR="008A5CD6" w:rsidRPr="008A5CD6" w:rsidRDefault="008A5CD6" w:rsidP="008A5CD6">
      <w:pPr>
        <w:spacing w:line="360" w:lineRule="exact"/>
        <w:jc w:val="center"/>
        <w:rPr>
          <w:rFonts w:eastAsia="微软雅黑"/>
          <w:b/>
          <w:sz w:val="26"/>
          <w:szCs w:val="26"/>
        </w:rPr>
      </w:pPr>
      <w:r w:rsidRPr="008A5CD6">
        <w:rPr>
          <w:rFonts w:eastAsia="微软雅黑"/>
          <w:b/>
          <w:sz w:val="26"/>
          <w:szCs w:val="26"/>
        </w:rPr>
        <w:t>China Construction Bank Announces 2018 Q3 Results</w:t>
      </w:r>
    </w:p>
    <w:p w14:paraId="29BAF0FF" w14:textId="77777777" w:rsidR="00CA5760" w:rsidRDefault="008A5CD6" w:rsidP="008A5CD6">
      <w:pPr>
        <w:spacing w:line="360" w:lineRule="exact"/>
        <w:jc w:val="center"/>
        <w:rPr>
          <w:rFonts w:eastAsia="微软雅黑"/>
          <w:i/>
        </w:rPr>
      </w:pPr>
      <w:r w:rsidRPr="008A5CD6">
        <w:rPr>
          <w:rFonts w:eastAsia="微软雅黑"/>
          <w:i/>
        </w:rPr>
        <w:t xml:space="preserve">Balanced and Stable Core Indicators </w:t>
      </w:r>
      <w:r w:rsidR="00872F0A">
        <w:rPr>
          <w:rFonts w:eastAsia="微软雅黑" w:hint="eastAsia"/>
          <w:i/>
          <w:lang w:eastAsia="zh-CN"/>
        </w:rPr>
        <w:t>-</w:t>
      </w:r>
      <w:r w:rsidRPr="008A5CD6">
        <w:rPr>
          <w:rFonts w:eastAsia="微软雅黑"/>
          <w:i/>
        </w:rPr>
        <w:t xml:space="preserve"> Asset Size Grows Steadily and</w:t>
      </w:r>
    </w:p>
    <w:p w14:paraId="6BF09F9F" w14:textId="26EF52DA" w:rsidR="008A5CD6" w:rsidRPr="008A5CD6" w:rsidRDefault="008A5CD6" w:rsidP="008A5CD6">
      <w:pPr>
        <w:spacing w:line="360" w:lineRule="exact"/>
        <w:jc w:val="center"/>
        <w:rPr>
          <w:rFonts w:eastAsia="微软雅黑"/>
          <w:i/>
        </w:rPr>
      </w:pPr>
      <w:r w:rsidRPr="008A5CD6">
        <w:rPr>
          <w:rFonts w:eastAsia="微软雅黑"/>
          <w:i/>
        </w:rPr>
        <w:t>Profitability Continues to Improve</w:t>
      </w:r>
    </w:p>
    <w:p w14:paraId="6FD77FFE" w14:textId="77777777" w:rsidR="00CC3933" w:rsidRPr="005127A2" w:rsidRDefault="00CC3933" w:rsidP="005924BD">
      <w:pPr>
        <w:spacing w:before="130" w:after="130" w:line="360" w:lineRule="exact"/>
        <w:ind w:firstLineChars="200" w:firstLine="440"/>
        <w:jc w:val="both"/>
        <w:rPr>
          <w:rFonts w:eastAsia="彩虹粗仿宋"/>
          <w:szCs w:val="32"/>
          <w:lang w:eastAsia="zh-CN"/>
        </w:rPr>
      </w:pPr>
    </w:p>
    <w:p w14:paraId="5197E21F" w14:textId="271228CE" w:rsidR="008A5CD6" w:rsidRPr="008A5CD6" w:rsidRDefault="00932740" w:rsidP="008A5CD6">
      <w:pPr>
        <w:pStyle w:val="a1"/>
        <w:spacing w:line="360" w:lineRule="exact"/>
        <w:jc w:val="both"/>
        <w:rPr>
          <w:sz w:val="24"/>
          <w:szCs w:val="24"/>
          <w:lang w:eastAsia="zh-CN"/>
        </w:rPr>
      </w:pPr>
      <w:r>
        <w:rPr>
          <w:b/>
          <w:bCs/>
          <w:sz w:val="24"/>
          <w:szCs w:val="24"/>
          <w:lang w:eastAsia="zh-CN"/>
        </w:rPr>
        <w:t xml:space="preserve">Beijing/Hong Kong, </w:t>
      </w:r>
      <w:r w:rsidR="008A5CD6">
        <w:rPr>
          <w:b/>
          <w:bCs/>
          <w:sz w:val="24"/>
          <w:szCs w:val="24"/>
          <w:lang w:eastAsia="zh-CN"/>
        </w:rPr>
        <w:t>23</w:t>
      </w:r>
      <w:r>
        <w:rPr>
          <w:b/>
          <w:bCs/>
          <w:sz w:val="24"/>
          <w:szCs w:val="24"/>
          <w:lang w:eastAsia="zh-CN"/>
        </w:rPr>
        <w:t xml:space="preserve"> </w:t>
      </w:r>
      <w:r w:rsidR="008A5CD6">
        <w:rPr>
          <w:rFonts w:hint="eastAsia"/>
          <w:b/>
          <w:bCs/>
          <w:sz w:val="24"/>
          <w:szCs w:val="24"/>
          <w:lang w:eastAsia="zh-CN"/>
        </w:rPr>
        <w:t>October</w:t>
      </w:r>
      <w:r>
        <w:rPr>
          <w:b/>
          <w:bCs/>
          <w:sz w:val="24"/>
          <w:szCs w:val="24"/>
          <w:lang w:eastAsia="zh-CN"/>
        </w:rPr>
        <w:t xml:space="preserve"> 2018</w:t>
      </w:r>
      <w:r w:rsidR="009322DF" w:rsidRPr="005127A2">
        <w:rPr>
          <w:sz w:val="24"/>
          <w:szCs w:val="24"/>
          <w:lang w:eastAsia="zh-CN"/>
        </w:rPr>
        <w:t xml:space="preserve"> </w:t>
      </w:r>
      <w:r w:rsidR="00A91C0C">
        <w:rPr>
          <w:rFonts w:hint="eastAsia"/>
          <w:sz w:val="24"/>
          <w:szCs w:val="24"/>
          <w:lang w:eastAsia="zh-CN"/>
        </w:rPr>
        <w:t>-</w:t>
      </w:r>
      <w:r w:rsidR="009322DF" w:rsidRPr="005127A2">
        <w:rPr>
          <w:sz w:val="24"/>
          <w:szCs w:val="24"/>
          <w:lang w:eastAsia="zh-CN"/>
        </w:rPr>
        <w:t xml:space="preserve"> </w:t>
      </w:r>
      <w:r w:rsidR="008A5CD6" w:rsidRPr="008A5CD6">
        <w:rPr>
          <w:sz w:val="24"/>
          <w:szCs w:val="24"/>
          <w:lang w:eastAsia="zh-CN"/>
        </w:rPr>
        <w:t>China Construction Bank Corporation (“the Bank”</w:t>
      </w:r>
      <w:r w:rsidR="00D22240">
        <w:rPr>
          <w:sz w:val="24"/>
          <w:szCs w:val="24"/>
          <w:lang w:eastAsia="zh-CN"/>
        </w:rPr>
        <w:t xml:space="preserve"> </w:t>
      </w:r>
      <w:r w:rsidR="008A5CD6" w:rsidRPr="008A5CD6">
        <w:rPr>
          <w:sz w:val="24"/>
          <w:szCs w:val="24"/>
          <w:lang w:eastAsia="zh-CN"/>
        </w:rPr>
        <w:t>or “CCB”) (A-share stock code SH:601939; H-share stock code HK:939) released its operating results for the third quarter of 2018 (the data herein was prepared according to the International Financial Reporting Standards on a consolidated basis and expressed in RMB unless otherwise stated). This year, CCB has maintained sound development, with stable and improving business performance, and core indicators including asset size, profitability and asset quality in line with expectations.</w:t>
      </w:r>
    </w:p>
    <w:p w14:paraId="4ACA986D" w14:textId="1376D4CB" w:rsidR="008A5CD6" w:rsidRPr="008A5CD6" w:rsidRDefault="008A5CD6" w:rsidP="008A5CD6">
      <w:pPr>
        <w:pStyle w:val="a1"/>
        <w:spacing w:line="360" w:lineRule="exact"/>
        <w:jc w:val="both"/>
        <w:rPr>
          <w:sz w:val="24"/>
          <w:szCs w:val="24"/>
          <w:lang w:eastAsia="zh-CN"/>
        </w:rPr>
      </w:pPr>
      <w:r w:rsidRPr="008A5CD6">
        <w:rPr>
          <w:sz w:val="24"/>
          <w:szCs w:val="24"/>
          <w:lang w:eastAsia="zh-CN"/>
        </w:rPr>
        <w:t xml:space="preserve">As of </w:t>
      </w:r>
      <w:r w:rsidR="00CA5760">
        <w:rPr>
          <w:sz w:val="24"/>
          <w:szCs w:val="24"/>
          <w:lang w:eastAsia="zh-CN"/>
        </w:rPr>
        <w:t xml:space="preserve">30 </w:t>
      </w:r>
      <w:r w:rsidRPr="008A5CD6">
        <w:rPr>
          <w:sz w:val="24"/>
          <w:szCs w:val="24"/>
          <w:lang w:eastAsia="zh-CN"/>
        </w:rPr>
        <w:t>September, 2018, the total assets of CCB were RMB</w:t>
      </w:r>
      <w:r w:rsidR="00357386">
        <w:rPr>
          <w:sz w:val="24"/>
          <w:szCs w:val="24"/>
          <w:lang w:eastAsia="zh-CN"/>
        </w:rPr>
        <w:t>23</w:t>
      </w:r>
      <w:proofErr w:type="gramStart"/>
      <w:r w:rsidR="00357386">
        <w:rPr>
          <w:sz w:val="24"/>
          <w:szCs w:val="24"/>
          <w:lang w:eastAsia="zh-CN"/>
        </w:rPr>
        <w:t>,354.08</w:t>
      </w:r>
      <w:proofErr w:type="gramEnd"/>
      <w:r w:rsidRPr="008A5CD6">
        <w:rPr>
          <w:sz w:val="24"/>
          <w:szCs w:val="24"/>
          <w:lang w:eastAsia="zh-CN"/>
        </w:rPr>
        <w:t xml:space="preserve"> </w:t>
      </w:r>
      <w:r w:rsidR="00357386">
        <w:rPr>
          <w:sz w:val="24"/>
          <w:szCs w:val="24"/>
          <w:lang w:eastAsia="zh-CN"/>
        </w:rPr>
        <w:t>b</w:t>
      </w:r>
      <w:r w:rsidRPr="008A5CD6">
        <w:rPr>
          <w:sz w:val="24"/>
          <w:szCs w:val="24"/>
          <w:lang w:eastAsia="zh-CN"/>
        </w:rPr>
        <w:t>illion, up by RMB</w:t>
      </w:r>
      <w:r w:rsidR="00357386">
        <w:rPr>
          <w:sz w:val="24"/>
          <w:szCs w:val="24"/>
          <w:lang w:eastAsia="zh-CN"/>
        </w:rPr>
        <w:t>1,229.70</w:t>
      </w:r>
      <w:r w:rsidRPr="008A5CD6">
        <w:rPr>
          <w:sz w:val="24"/>
          <w:szCs w:val="24"/>
          <w:lang w:eastAsia="zh-CN"/>
        </w:rPr>
        <w:t xml:space="preserve"> </w:t>
      </w:r>
      <w:r w:rsidR="00357386">
        <w:rPr>
          <w:sz w:val="24"/>
          <w:szCs w:val="24"/>
          <w:lang w:eastAsia="zh-CN"/>
        </w:rPr>
        <w:t>b</w:t>
      </w:r>
      <w:r w:rsidRPr="008A5CD6">
        <w:rPr>
          <w:sz w:val="24"/>
          <w:szCs w:val="24"/>
          <w:lang w:eastAsia="zh-CN"/>
        </w:rPr>
        <w:t xml:space="preserve">illion or </w:t>
      </w:r>
      <w:r w:rsidR="00357386">
        <w:rPr>
          <w:sz w:val="24"/>
          <w:szCs w:val="24"/>
          <w:lang w:eastAsia="zh-CN"/>
        </w:rPr>
        <w:t>5.56</w:t>
      </w:r>
      <w:r w:rsidRPr="008A5CD6">
        <w:rPr>
          <w:sz w:val="24"/>
          <w:szCs w:val="24"/>
          <w:lang w:eastAsia="zh-CN"/>
        </w:rPr>
        <w:t>% from the end of last year. The total amount of customer loans and advances was RMB</w:t>
      </w:r>
      <w:r w:rsidR="00357386">
        <w:rPr>
          <w:sz w:val="24"/>
          <w:szCs w:val="24"/>
          <w:lang w:eastAsia="zh-CN"/>
        </w:rPr>
        <w:t>13,765.78</w:t>
      </w:r>
      <w:r w:rsidRPr="008A5CD6">
        <w:rPr>
          <w:sz w:val="24"/>
          <w:szCs w:val="24"/>
          <w:lang w:eastAsia="zh-CN"/>
        </w:rPr>
        <w:t xml:space="preserve"> </w:t>
      </w:r>
      <w:r w:rsidR="00357386">
        <w:rPr>
          <w:sz w:val="24"/>
          <w:szCs w:val="24"/>
          <w:lang w:eastAsia="zh-CN"/>
        </w:rPr>
        <w:t>b</w:t>
      </w:r>
      <w:r w:rsidRPr="008A5CD6">
        <w:rPr>
          <w:sz w:val="24"/>
          <w:szCs w:val="24"/>
          <w:lang w:eastAsia="zh-CN"/>
        </w:rPr>
        <w:t>illion, an increase of RMB</w:t>
      </w:r>
      <w:r w:rsidR="00357386">
        <w:rPr>
          <w:sz w:val="24"/>
          <w:szCs w:val="24"/>
          <w:lang w:eastAsia="zh-CN"/>
        </w:rPr>
        <w:t>862.34</w:t>
      </w:r>
      <w:r w:rsidR="00357386" w:rsidRPr="008A5CD6">
        <w:rPr>
          <w:sz w:val="24"/>
          <w:szCs w:val="24"/>
          <w:lang w:eastAsia="zh-CN"/>
        </w:rPr>
        <w:t xml:space="preserve"> </w:t>
      </w:r>
      <w:r w:rsidR="00357386">
        <w:rPr>
          <w:sz w:val="24"/>
          <w:szCs w:val="24"/>
          <w:lang w:eastAsia="zh-CN"/>
        </w:rPr>
        <w:t>b</w:t>
      </w:r>
      <w:r w:rsidRPr="008A5CD6">
        <w:rPr>
          <w:sz w:val="24"/>
          <w:szCs w:val="24"/>
          <w:lang w:eastAsia="zh-CN"/>
        </w:rPr>
        <w:t>illion from the end of last year. Customer deposits amounted to RMB</w:t>
      </w:r>
      <w:r w:rsidR="00357386">
        <w:rPr>
          <w:sz w:val="24"/>
          <w:szCs w:val="24"/>
          <w:lang w:eastAsia="zh-CN"/>
        </w:rPr>
        <w:t>17,228.19</w:t>
      </w:r>
      <w:r w:rsidRPr="008A5CD6">
        <w:rPr>
          <w:sz w:val="24"/>
          <w:szCs w:val="24"/>
          <w:lang w:eastAsia="zh-CN"/>
        </w:rPr>
        <w:t xml:space="preserve"> </w:t>
      </w:r>
      <w:r w:rsidR="00357386">
        <w:rPr>
          <w:sz w:val="24"/>
          <w:szCs w:val="24"/>
          <w:lang w:eastAsia="zh-CN"/>
        </w:rPr>
        <w:t>b</w:t>
      </w:r>
      <w:r w:rsidRPr="008A5CD6">
        <w:rPr>
          <w:sz w:val="24"/>
          <w:szCs w:val="24"/>
          <w:lang w:eastAsia="zh-CN"/>
        </w:rPr>
        <w:t>illion, an increase of RMB</w:t>
      </w:r>
      <w:r w:rsidR="00357386">
        <w:rPr>
          <w:sz w:val="24"/>
          <w:szCs w:val="24"/>
          <w:lang w:eastAsia="zh-CN"/>
        </w:rPr>
        <w:t>864.44</w:t>
      </w:r>
      <w:r w:rsidRPr="008A5CD6">
        <w:rPr>
          <w:sz w:val="24"/>
          <w:szCs w:val="24"/>
          <w:lang w:eastAsia="zh-CN"/>
        </w:rPr>
        <w:t xml:space="preserve"> </w:t>
      </w:r>
      <w:r w:rsidR="00357386">
        <w:rPr>
          <w:sz w:val="24"/>
          <w:szCs w:val="24"/>
          <w:lang w:eastAsia="zh-CN"/>
        </w:rPr>
        <w:t>b</w:t>
      </w:r>
      <w:r w:rsidRPr="008A5CD6">
        <w:rPr>
          <w:sz w:val="24"/>
          <w:szCs w:val="24"/>
          <w:lang w:eastAsia="zh-CN"/>
        </w:rPr>
        <w:t xml:space="preserve">illion or </w:t>
      </w:r>
      <w:r w:rsidR="00357386">
        <w:rPr>
          <w:sz w:val="24"/>
          <w:szCs w:val="24"/>
          <w:lang w:eastAsia="zh-CN"/>
        </w:rPr>
        <w:t>5.28</w:t>
      </w:r>
      <w:r w:rsidRPr="008A5CD6">
        <w:rPr>
          <w:sz w:val="24"/>
          <w:szCs w:val="24"/>
          <w:lang w:eastAsia="zh-CN"/>
        </w:rPr>
        <w:t>% from the end of last year.</w:t>
      </w:r>
    </w:p>
    <w:p w14:paraId="59466D48" w14:textId="2F73B04B" w:rsidR="008A5CD6" w:rsidRPr="008A5CD6" w:rsidRDefault="008A5CD6" w:rsidP="008A5CD6">
      <w:pPr>
        <w:pStyle w:val="a1"/>
        <w:spacing w:line="360" w:lineRule="exact"/>
        <w:jc w:val="both"/>
        <w:rPr>
          <w:sz w:val="24"/>
          <w:szCs w:val="24"/>
          <w:lang w:eastAsia="zh-CN"/>
        </w:rPr>
      </w:pPr>
      <w:r w:rsidRPr="008A5CD6">
        <w:rPr>
          <w:sz w:val="24"/>
          <w:szCs w:val="24"/>
          <w:lang w:eastAsia="zh-CN"/>
        </w:rPr>
        <w:t xml:space="preserve">As of September 30, 2018, CCB's total capital adequacy ratio was </w:t>
      </w:r>
      <w:r w:rsidR="00357386">
        <w:rPr>
          <w:sz w:val="24"/>
          <w:szCs w:val="24"/>
          <w:lang w:eastAsia="zh-CN"/>
        </w:rPr>
        <w:t>16.23</w:t>
      </w:r>
      <w:r w:rsidRPr="008A5CD6">
        <w:rPr>
          <w:sz w:val="24"/>
          <w:szCs w:val="24"/>
          <w:lang w:eastAsia="zh-CN"/>
        </w:rPr>
        <w:t xml:space="preserve">%, Tier 1 ratio was </w:t>
      </w:r>
      <w:r w:rsidR="00357386">
        <w:rPr>
          <w:sz w:val="24"/>
          <w:szCs w:val="24"/>
          <w:lang w:eastAsia="zh-CN"/>
        </w:rPr>
        <w:t>13.92</w:t>
      </w:r>
      <w:r w:rsidRPr="008A5CD6">
        <w:rPr>
          <w:sz w:val="24"/>
          <w:szCs w:val="24"/>
          <w:lang w:eastAsia="zh-CN"/>
        </w:rPr>
        <w:t xml:space="preserve">% and Common Equity Tier 1 ratio was </w:t>
      </w:r>
      <w:r w:rsidR="00357386">
        <w:rPr>
          <w:sz w:val="24"/>
          <w:szCs w:val="24"/>
          <w:lang w:eastAsia="zh-CN"/>
        </w:rPr>
        <w:t>13.34</w:t>
      </w:r>
      <w:r w:rsidRPr="002A32ED">
        <w:rPr>
          <w:sz w:val="24"/>
          <w:szCs w:val="24"/>
          <w:lang w:eastAsia="zh-CN"/>
        </w:rPr>
        <w:t xml:space="preserve">%, </w:t>
      </w:r>
      <w:r w:rsidR="000C5389" w:rsidRPr="002A32ED">
        <w:rPr>
          <w:sz w:val="24"/>
          <w:szCs w:val="24"/>
          <w:lang w:eastAsia="zh-CN"/>
        </w:rPr>
        <w:t>meeting</w:t>
      </w:r>
      <w:r w:rsidR="002A32ED" w:rsidRPr="002A32ED">
        <w:rPr>
          <w:sz w:val="24"/>
          <w:szCs w:val="24"/>
          <w:lang w:eastAsia="zh-CN"/>
        </w:rPr>
        <w:t xml:space="preserve"> </w:t>
      </w:r>
      <w:r w:rsidR="00FF4B9A" w:rsidRPr="002A32ED">
        <w:rPr>
          <w:sz w:val="24"/>
          <w:szCs w:val="24"/>
          <w:lang w:eastAsia="zh-CN"/>
        </w:rPr>
        <w:t>the</w:t>
      </w:r>
      <w:r w:rsidR="000C5389" w:rsidRPr="002A32ED">
        <w:rPr>
          <w:sz w:val="24"/>
          <w:szCs w:val="24"/>
          <w:lang w:eastAsia="zh-CN"/>
        </w:rPr>
        <w:t xml:space="preserve"> regulatory requirements</w:t>
      </w:r>
      <w:r w:rsidRPr="002A32ED">
        <w:rPr>
          <w:sz w:val="24"/>
          <w:szCs w:val="24"/>
          <w:lang w:eastAsia="zh-CN"/>
        </w:rPr>
        <w:t>.</w:t>
      </w:r>
    </w:p>
    <w:p w14:paraId="7DDB3B45" w14:textId="623619AD" w:rsidR="008A5CD6" w:rsidRPr="008A5CD6" w:rsidRDefault="008A5CD6" w:rsidP="00CA5760">
      <w:pPr>
        <w:pStyle w:val="a1"/>
        <w:spacing w:line="360" w:lineRule="exact"/>
        <w:jc w:val="both"/>
        <w:rPr>
          <w:sz w:val="24"/>
          <w:szCs w:val="24"/>
          <w:lang w:eastAsia="zh-CN"/>
        </w:rPr>
      </w:pPr>
      <w:r w:rsidRPr="008A5CD6">
        <w:rPr>
          <w:sz w:val="24"/>
          <w:szCs w:val="24"/>
          <w:lang w:eastAsia="zh-CN"/>
        </w:rPr>
        <w:t>As of September 30, CCB achieved a net profit of RMB</w:t>
      </w:r>
      <w:r w:rsidR="00357386">
        <w:rPr>
          <w:sz w:val="24"/>
          <w:szCs w:val="24"/>
          <w:lang w:eastAsia="zh-CN"/>
        </w:rPr>
        <w:t>214.86</w:t>
      </w:r>
      <w:r w:rsidRPr="008A5CD6">
        <w:rPr>
          <w:sz w:val="24"/>
          <w:szCs w:val="24"/>
          <w:lang w:eastAsia="zh-CN"/>
        </w:rPr>
        <w:t xml:space="preserve"> </w:t>
      </w:r>
      <w:r w:rsidR="00357386">
        <w:rPr>
          <w:sz w:val="24"/>
          <w:szCs w:val="24"/>
          <w:lang w:eastAsia="zh-CN"/>
        </w:rPr>
        <w:t>b</w:t>
      </w:r>
      <w:r w:rsidRPr="008A5CD6">
        <w:rPr>
          <w:sz w:val="24"/>
          <w:szCs w:val="24"/>
          <w:lang w:eastAsia="zh-CN"/>
        </w:rPr>
        <w:t>illion, of which the net profit attributable to shareholders was RMB</w:t>
      </w:r>
      <w:r w:rsidR="00357386">
        <w:rPr>
          <w:sz w:val="24"/>
          <w:szCs w:val="24"/>
          <w:lang w:eastAsia="zh-CN"/>
        </w:rPr>
        <w:t>214.11 b</w:t>
      </w:r>
      <w:r w:rsidRPr="008A5CD6">
        <w:rPr>
          <w:sz w:val="24"/>
          <w:szCs w:val="24"/>
          <w:lang w:eastAsia="zh-CN"/>
        </w:rPr>
        <w:t xml:space="preserve">illion, up by </w:t>
      </w:r>
      <w:r w:rsidR="00357386">
        <w:rPr>
          <w:sz w:val="24"/>
          <w:szCs w:val="24"/>
          <w:lang w:eastAsia="zh-CN"/>
        </w:rPr>
        <w:t>6.22</w:t>
      </w:r>
      <w:r w:rsidRPr="008A5CD6">
        <w:rPr>
          <w:sz w:val="24"/>
          <w:szCs w:val="24"/>
          <w:lang w:eastAsia="zh-CN"/>
        </w:rPr>
        <w:t xml:space="preserve">% and </w:t>
      </w:r>
      <w:r w:rsidR="00357386">
        <w:rPr>
          <w:sz w:val="24"/>
          <w:szCs w:val="24"/>
          <w:lang w:eastAsia="zh-CN"/>
        </w:rPr>
        <w:t>6.39</w:t>
      </w:r>
      <w:r w:rsidRPr="008A5CD6">
        <w:rPr>
          <w:sz w:val="24"/>
          <w:szCs w:val="24"/>
          <w:lang w:eastAsia="zh-CN"/>
        </w:rPr>
        <w:t xml:space="preserve">% year-on-year respectively. The annualized return on average assets was </w:t>
      </w:r>
      <w:r w:rsidR="00357386">
        <w:rPr>
          <w:sz w:val="24"/>
          <w:szCs w:val="24"/>
          <w:lang w:eastAsia="zh-CN"/>
        </w:rPr>
        <w:t>1.26</w:t>
      </w:r>
      <w:r w:rsidRPr="008A5CD6">
        <w:rPr>
          <w:sz w:val="24"/>
          <w:szCs w:val="24"/>
          <w:lang w:eastAsia="zh-CN"/>
        </w:rPr>
        <w:t xml:space="preserve">% and the annualized return on average equity was </w:t>
      </w:r>
      <w:r w:rsidR="00357386">
        <w:rPr>
          <w:sz w:val="24"/>
          <w:szCs w:val="24"/>
          <w:lang w:eastAsia="zh-CN"/>
        </w:rPr>
        <w:t>16.08</w:t>
      </w:r>
      <w:r w:rsidRPr="008A5CD6">
        <w:rPr>
          <w:sz w:val="24"/>
          <w:szCs w:val="24"/>
          <w:lang w:eastAsia="zh-CN"/>
        </w:rPr>
        <w:t>%. Net interest income was RMB</w:t>
      </w:r>
      <w:r w:rsidR="00357386">
        <w:rPr>
          <w:sz w:val="24"/>
          <w:szCs w:val="24"/>
          <w:lang w:eastAsia="zh-CN"/>
        </w:rPr>
        <w:t>365.73</w:t>
      </w:r>
      <w:r w:rsidR="00357386" w:rsidRPr="008A5CD6">
        <w:rPr>
          <w:sz w:val="24"/>
          <w:szCs w:val="24"/>
          <w:lang w:eastAsia="zh-CN"/>
        </w:rPr>
        <w:t xml:space="preserve"> </w:t>
      </w:r>
      <w:r w:rsidR="00357386">
        <w:rPr>
          <w:sz w:val="24"/>
          <w:szCs w:val="24"/>
          <w:lang w:eastAsia="zh-CN"/>
        </w:rPr>
        <w:t>b</w:t>
      </w:r>
      <w:r w:rsidRPr="008A5CD6">
        <w:rPr>
          <w:sz w:val="24"/>
          <w:szCs w:val="24"/>
          <w:lang w:eastAsia="zh-CN"/>
        </w:rPr>
        <w:t xml:space="preserve">illion, up </w:t>
      </w:r>
      <w:r w:rsidR="0093712B">
        <w:rPr>
          <w:sz w:val="24"/>
          <w:szCs w:val="24"/>
          <w:lang w:eastAsia="zh-CN"/>
        </w:rPr>
        <w:t>9.72</w:t>
      </w:r>
      <w:r w:rsidRPr="008A5CD6">
        <w:rPr>
          <w:sz w:val="24"/>
          <w:szCs w:val="24"/>
          <w:lang w:eastAsia="zh-CN"/>
        </w:rPr>
        <w:t xml:space="preserve">% from a year ago. The net interest spread and the net interest margin reached </w:t>
      </w:r>
      <w:r w:rsidR="0093712B">
        <w:rPr>
          <w:sz w:val="24"/>
          <w:szCs w:val="24"/>
          <w:lang w:eastAsia="zh-CN"/>
        </w:rPr>
        <w:t>2.21</w:t>
      </w:r>
      <w:r w:rsidRPr="008A5CD6">
        <w:rPr>
          <w:sz w:val="24"/>
          <w:szCs w:val="24"/>
          <w:lang w:eastAsia="zh-CN"/>
        </w:rPr>
        <w:t xml:space="preserve">% and </w:t>
      </w:r>
      <w:r w:rsidR="0093712B">
        <w:rPr>
          <w:sz w:val="24"/>
          <w:szCs w:val="24"/>
          <w:lang w:eastAsia="zh-CN"/>
        </w:rPr>
        <w:t>2.34</w:t>
      </w:r>
      <w:r w:rsidRPr="008A5CD6">
        <w:rPr>
          <w:sz w:val="24"/>
          <w:szCs w:val="24"/>
          <w:lang w:eastAsia="zh-CN"/>
        </w:rPr>
        <w:t xml:space="preserve">% respectively, both up by </w:t>
      </w:r>
      <w:r w:rsidR="0093712B">
        <w:rPr>
          <w:sz w:val="24"/>
          <w:szCs w:val="24"/>
          <w:lang w:eastAsia="zh-CN"/>
        </w:rPr>
        <w:t>0.18</w:t>
      </w:r>
      <w:r w:rsidRPr="008A5CD6">
        <w:rPr>
          <w:sz w:val="24"/>
          <w:szCs w:val="24"/>
          <w:lang w:eastAsia="zh-CN"/>
        </w:rPr>
        <w:t xml:space="preserve"> percentage points from a year ago. Meanwhile, the income from intermediary business increased steadily. The Bank’s net fee and commission income was RMB</w:t>
      </w:r>
      <w:r w:rsidR="0093712B">
        <w:rPr>
          <w:sz w:val="24"/>
          <w:szCs w:val="24"/>
          <w:lang w:eastAsia="zh-CN"/>
        </w:rPr>
        <w:t>96.53</w:t>
      </w:r>
      <w:r w:rsidRPr="008A5CD6">
        <w:rPr>
          <w:sz w:val="24"/>
          <w:szCs w:val="24"/>
          <w:lang w:eastAsia="zh-CN"/>
        </w:rPr>
        <w:t xml:space="preserve"> </w:t>
      </w:r>
      <w:r w:rsidR="0093712B">
        <w:rPr>
          <w:sz w:val="24"/>
          <w:szCs w:val="24"/>
          <w:lang w:eastAsia="zh-CN"/>
        </w:rPr>
        <w:t>b</w:t>
      </w:r>
      <w:r w:rsidRPr="008A5CD6">
        <w:rPr>
          <w:sz w:val="24"/>
          <w:szCs w:val="24"/>
          <w:lang w:eastAsia="zh-CN"/>
        </w:rPr>
        <w:t xml:space="preserve">illion, a </w:t>
      </w:r>
      <w:r w:rsidR="0093712B">
        <w:rPr>
          <w:sz w:val="24"/>
          <w:szCs w:val="24"/>
          <w:lang w:eastAsia="zh-CN"/>
        </w:rPr>
        <w:t>3.07</w:t>
      </w:r>
      <w:r w:rsidRPr="008A5CD6">
        <w:rPr>
          <w:sz w:val="24"/>
          <w:szCs w:val="24"/>
          <w:lang w:eastAsia="zh-CN"/>
        </w:rPr>
        <w:t xml:space="preserve">% year-on-year increase. Among those, bank cards, e-banking, custody and other fiduciary products enjoyed sound development and incomes maintained rapid growth. </w:t>
      </w:r>
      <w:r w:rsidRPr="008A5CD6">
        <w:rPr>
          <w:sz w:val="24"/>
          <w:szCs w:val="24"/>
          <w:lang w:eastAsia="zh-CN"/>
        </w:rPr>
        <w:lastRenderedPageBreak/>
        <w:t xml:space="preserve">The cost-to-income ratio fell further, down by </w:t>
      </w:r>
      <w:r w:rsidR="0093712B">
        <w:rPr>
          <w:sz w:val="24"/>
          <w:szCs w:val="24"/>
          <w:lang w:eastAsia="zh-CN"/>
        </w:rPr>
        <w:t>0.6</w:t>
      </w:r>
      <w:r w:rsidR="00752BD3">
        <w:rPr>
          <w:rFonts w:hint="eastAsia"/>
          <w:sz w:val="24"/>
          <w:szCs w:val="24"/>
          <w:lang w:eastAsia="zh-CN"/>
        </w:rPr>
        <w:t>2</w:t>
      </w:r>
      <w:r w:rsidRPr="008A5CD6">
        <w:rPr>
          <w:sz w:val="24"/>
          <w:szCs w:val="24"/>
          <w:lang w:eastAsia="zh-CN"/>
        </w:rPr>
        <w:t xml:space="preserve"> percentage points to </w:t>
      </w:r>
      <w:r w:rsidR="0093712B">
        <w:rPr>
          <w:sz w:val="24"/>
          <w:szCs w:val="24"/>
          <w:lang w:eastAsia="zh-CN"/>
        </w:rPr>
        <w:t>23.</w:t>
      </w:r>
      <w:r w:rsidR="00752BD3">
        <w:rPr>
          <w:rFonts w:hint="eastAsia"/>
          <w:sz w:val="24"/>
          <w:szCs w:val="24"/>
          <w:lang w:eastAsia="zh-CN"/>
        </w:rPr>
        <w:t>20</w:t>
      </w:r>
      <w:r w:rsidRPr="008A5CD6">
        <w:rPr>
          <w:sz w:val="24"/>
          <w:szCs w:val="24"/>
          <w:lang w:eastAsia="zh-CN"/>
        </w:rPr>
        <w:t>% from a year ago.</w:t>
      </w:r>
    </w:p>
    <w:p w14:paraId="5E7DB748" w14:textId="06A1305F" w:rsidR="008A5CD6" w:rsidRPr="008A5CD6" w:rsidRDefault="008A5CD6" w:rsidP="008A5CD6">
      <w:pPr>
        <w:pStyle w:val="a1"/>
        <w:spacing w:line="360" w:lineRule="exact"/>
        <w:jc w:val="both"/>
        <w:rPr>
          <w:sz w:val="24"/>
          <w:szCs w:val="24"/>
          <w:lang w:eastAsia="zh-CN"/>
        </w:rPr>
      </w:pPr>
      <w:r w:rsidRPr="008A5CD6">
        <w:rPr>
          <w:sz w:val="24"/>
          <w:szCs w:val="24"/>
          <w:lang w:eastAsia="zh-CN"/>
        </w:rPr>
        <w:t xml:space="preserve">CCB has taken the adjustment of national industrial policies and the trend in supply-side structural reform as the focus of its risk prevention and control, and further improved its risk prevention and control mechanism. In 2018, CCB has </w:t>
      </w:r>
      <w:bookmarkStart w:id="0" w:name="_GoBack"/>
      <w:bookmarkEnd w:id="0"/>
      <w:r w:rsidRPr="008A5CD6">
        <w:rPr>
          <w:sz w:val="24"/>
          <w:szCs w:val="24"/>
          <w:lang w:eastAsia="zh-CN"/>
        </w:rPr>
        <w:t>continued to strengthen its ability to prevent risks and maintain stable asset quality through continuous strict and effective comprehensive risk management. According to the five-category classification of loans, the non-performing loan balance was RMB</w:t>
      </w:r>
      <w:r w:rsidR="0093712B">
        <w:rPr>
          <w:sz w:val="24"/>
          <w:szCs w:val="24"/>
          <w:lang w:eastAsia="zh-CN"/>
        </w:rPr>
        <w:t>201.82</w:t>
      </w:r>
      <w:r w:rsidRPr="008A5CD6">
        <w:rPr>
          <w:sz w:val="24"/>
          <w:szCs w:val="24"/>
          <w:lang w:eastAsia="zh-CN"/>
        </w:rPr>
        <w:t xml:space="preserve"> </w:t>
      </w:r>
      <w:r w:rsidR="0093712B">
        <w:rPr>
          <w:sz w:val="24"/>
          <w:szCs w:val="24"/>
          <w:lang w:eastAsia="zh-CN"/>
        </w:rPr>
        <w:t>b</w:t>
      </w:r>
      <w:r w:rsidRPr="008A5CD6">
        <w:rPr>
          <w:sz w:val="24"/>
          <w:szCs w:val="24"/>
          <w:lang w:eastAsia="zh-CN"/>
        </w:rPr>
        <w:t xml:space="preserve">illion, and the non-performing loan ratio was </w:t>
      </w:r>
      <w:r w:rsidR="0093712B">
        <w:rPr>
          <w:sz w:val="24"/>
          <w:szCs w:val="24"/>
          <w:lang w:eastAsia="zh-CN"/>
        </w:rPr>
        <w:t>1.47</w:t>
      </w:r>
      <w:r w:rsidRPr="008A5CD6">
        <w:rPr>
          <w:sz w:val="24"/>
          <w:szCs w:val="24"/>
          <w:lang w:eastAsia="zh-CN"/>
        </w:rPr>
        <w:t xml:space="preserve">%, down by </w:t>
      </w:r>
      <w:r w:rsidR="0093712B">
        <w:rPr>
          <w:sz w:val="24"/>
          <w:szCs w:val="24"/>
          <w:lang w:eastAsia="zh-CN"/>
        </w:rPr>
        <w:t>0.02</w:t>
      </w:r>
      <w:r w:rsidRPr="008A5CD6">
        <w:rPr>
          <w:sz w:val="24"/>
          <w:szCs w:val="24"/>
          <w:lang w:eastAsia="zh-CN"/>
        </w:rPr>
        <w:t xml:space="preserve"> percentage points from the end of last year. The ratio of impairment provision to non-performing loans was </w:t>
      </w:r>
      <w:r w:rsidR="0093712B">
        <w:rPr>
          <w:sz w:val="24"/>
          <w:szCs w:val="24"/>
          <w:lang w:eastAsia="zh-CN"/>
        </w:rPr>
        <w:t>195.16</w:t>
      </w:r>
      <w:r w:rsidRPr="008A5CD6">
        <w:rPr>
          <w:sz w:val="24"/>
          <w:szCs w:val="24"/>
          <w:lang w:eastAsia="zh-CN"/>
        </w:rPr>
        <w:t xml:space="preserve">%, up by </w:t>
      </w:r>
      <w:r w:rsidR="0093712B">
        <w:rPr>
          <w:sz w:val="24"/>
          <w:szCs w:val="24"/>
          <w:lang w:eastAsia="zh-CN"/>
        </w:rPr>
        <w:t>24.08</w:t>
      </w:r>
      <w:r w:rsidRPr="008A5CD6">
        <w:rPr>
          <w:sz w:val="24"/>
          <w:szCs w:val="24"/>
          <w:lang w:eastAsia="zh-CN"/>
        </w:rPr>
        <w:t xml:space="preserve"> percentage points from the end of last year.</w:t>
      </w:r>
    </w:p>
    <w:p w14:paraId="17ED30AE" w14:textId="77777777" w:rsidR="008A5CD6" w:rsidRPr="008A5CD6" w:rsidRDefault="008A5CD6" w:rsidP="008A5CD6">
      <w:pPr>
        <w:pStyle w:val="a1"/>
        <w:spacing w:line="360" w:lineRule="exact"/>
        <w:jc w:val="both"/>
        <w:rPr>
          <w:sz w:val="24"/>
          <w:szCs w:val="24"/>
          <w:lang w:eastAsia="zh-CN"/>
        </w:rPr>
      </w:pPr>
      <w:r w:rsidRPr="008A5CD6">
        <w:rPr>
          <w:sz w:val="24"/>
          <w:szCs w:val="24"/>
          <w:lang w:eastAsia="zh-CN"/>
        </w:rPr>
        <w:t>Since 2018, CCB has continued to implement the three major strategies for house leasing, fintech and inclusive finance. The Bank has continued to focus on building the service brand of "To Lease a Home, Go to CCB.” The house rental services platform has been launched in more than 300 administrative areas at or above prefecture-level in mainland China. There are more than 2 million on-line listings, and 310,000 have been leased out.</w:t>
      </w:r>
    </w:p>
    <w:p w14:paraId="01714FCB" w14:textId="77777777" w:rsidR="008A5CD6" w:rsidRPr="008A5CD6" w:rsidRDefault="008A5CD6" w:rsidP="008A5CD6">
      <w:pPr>
        <w:pStyle w:val="a1"/>
        <w:spacing w:line="360" w:lineRule="exact"/>
        <w:jc w:val="both"/>
        <w:rPr>
          <w:sz w:val="24"/>
          <w:szCs w:val="24"/>
          <w:lang w:eastAsia="zh-CN"/>
        </w:rPr>
      </w:pPr>
      <w:r w:rsidRPr="008A5CD6">
        <w:rPr>
          <w:sz w:val="24"/>
          <w:szCs w:val="24"/>
          <w:lang w:eastAsia="zh-CN"/>
        </w:rPr>
        <w:t>CCB will implement its financial technology strategy “TOP+” which leverages technology and data to drive financial innovation to create a smart financial platform ecosystem. With this, the Bank aims to use financial technology to empower society, actively solve social problems and challenges, and contribute to a high-quality development of the real economy.</w:t>
      </w:r>
    </w:p>
    <w:p w14:paraId="730EC448" w14:textId="77777777" w:rsidR="008A5CD6" w:rsidRPr="008A5CD6" w:rsidRDefault="008A5CD6" w:rsidP="008A5CD6">
      <w:pPr>
        <w:pStyle w:val="a1"/>
        <w:spacing w:line="360" w:lineRule="exact"/>
        <w:jc w:val="both"/>
        <w:rPr>
          <w:sz w:val="24"/>
          <w:szCs w:val="24"/>
          <w:lang w:eastAsia="zh-CN"/>
        </w:rPr>
      </w:pPr>
      <w:r w:rsidRPr="008A5CD6">
        <w:rPr>
          <w:sz w:val="24"/>
          <w:szCs w:val="24"/>
          <w:lang w:eastAsia="zh-CN"/>
        </w:rPr>
        <w:t xml:space="preserve">CCB will continue to fully implement and promote its inclusive finance strategy. Leveraging its "New Generation" financial technology, the Bank will launch "CCB understands you", an app that is underpinned by big data, providing an on-line one-stop access for “SME Quick Loan”. The Bank released “China's Blue Book on Inclusive Finance (2018)” and the "CCB • Xinhua Inclusive Finance SME Index as the barometer of and compass for inclusive finance. In addition, CCB has sponsored China's Internet Plus Innovation and Entrepreneurship competition for four consecutive years, benefiting 5 million college students. In the first nine months of 2018, the volume of inclusive finance loans increased by RMB160 billion, among which the volume of SME loans increased by more than RMB130 billion, and the number of SME borrowers increased by 155,000, making the Bank a leader in this area.  At the same time, it is active in fulfilling its social responsibilities. To date, the </w:t>
      </w:r>
      <w:r w:rsidRPr="008A5CD6">
        <w:rPr>
          <w:sz w:val="24"/>
          <w:szCs w:val="24"/>
          <w:lang w:eastAsia="zh-CN"/>
        </w:rPr>
        <w:lastRenderedPageBreak/>
        <w:t>Bank has set up 14,413 “Caring Stations” in its branches, serving more than 13.5 million people.</w:t>
      </w:r>
    </w:p>
    <w:p w14:paraId="3196B552" w14:textId="188CFE70" w:rsidR="003C6C26" w:rsidRPr="00462C8E" w:rsidRDefault="008A5CD6" w:rsidP="008A5CD6">
      <w:pPr>
        <w:pStyle w:val="a1"/>
        <w:spacing w:after="0" w:line="360" w:lineRule="exact"/>
        <w:jc w:val="both"/>
        <w:rPr>
          <w:rFonts w:eastAsia="微软雅黑"/>
          <w:color w:val="000000" w:themeColor="text1"/>
          <w:sz w:val="24"/>
          <w:szCs w:val="24"/>
        </w:rPr>
      </w:pPr>
      <w:r w:rsidRPr="008A5CD6">
        <w:rPr>
          <w:sz w:val="24"/>
          <w:szCs w:val="24"/>
          <w:lang w:eastAsia="zh-CN"/>
        </w:rPr>
        <w:t>Facing the complex domestic and international economic environment, CCB always bears in mind the mission of state-owned large commercial banks. While maintaining steady growth and improving service capabilities, CCB is committed to building a better life, sharing the fruits of modern financial development and helping people realize the Chinese dream through financial innovation.</w:t>
      </w:r>
    </w:p>
    <w:sectPr w:rsidR="003C6C26" w:rsidRPr="00462C8E" w:rsidSect="00C524DC">
      <w:headerReference w:type="default" r:id="rId9"/>
      <w:footerReference w:type="default" r:id="rId10"/>
      <w:pgSz w:w="11906" w:h="16838"/>
      <w:pgMar w:top="1440" w:right="1800" w:bottom="1170" w:left="1800" w:header="851" w:footer="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F7FE0" w14:textId="77777777" w:rsidR="005D3389" w:rsidRDefault="005D3389" w:rsidP="005C5D4D">
      <w:r>
        <w:separator/>
      </w:r>
    </w:p>
  </w:endnote>
  <w:endnote w:type="continuationSeparator" w:id="0">
    <w:p w14:paraId="1DFFF034" w14:textId="77777777" w:rsidR="005D3389" w:rsidRDefault="005D3389" w:rsidP="005C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彩虹黑体">
    <w:altName w:val="微软雅黑"/>
    <w:panose1 w:val="02010609000101010101"/>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彩虹小标宋">
    <w:panose1 w:val="02010609000101010101"/>
    <w:charset w:val="86"/>
    <w:family w:val="script"/>
    <w:pitch w:val="fixed"/>
    <w:sig w:usb0="00000001" w:usb1="080E0000" w:usb2="00000010" w:usb3="00000000" w:csb0="00040000" w:csb1="00000000"/>
  </w:font>
  <w:font w:name="微软雅黑">
    <w:altName w:val="Microsoft YaHei"/>
    <w:panose1 w:val="020B0503020204020204"/>
    <w:charset w:val="86"/>
    <w:family w:val="swiss"/>
    <w:pitch w:val="variable"/>
    <w:sig w:usb0="80000287" w:usb1="280F3C52" w:usb2="00000016" w:usb3="00000000" w:csb0="0004001F" w:csb1="00000000"/>
  </w:font>
  <w:font w:name="彩虹粗仿宋">
    <w:panose1 w:val="02010609000101010101"/>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887761"/>
      <w:docPartObj>
        <w:docPartGallery w:val="Page Numbers (Bottom of Page)"/>
        <w:docPartUnique/>
      </w:docPartObj>
    </w:sdtPr>
    <w:sdtEndPr/>
    <w:sdtContent>
      <w:p w14:paraId="30264E10" w14:textId="315E6BEE" w:rsidR="000D30CC" w:rsidRDefault="000D30CC">
        <w:pPr>
          <w:pStyle w:val="a6"/>
          <w:jc w:val="center"/>
        </w:pPr>
        <w:r w:rsidRPr="00F25260">
          <w:rPr>
            <w:rFonts w:ascii="Arial" w:hAnsi="Arial" w:cs="Arial"/>
          </w:rPr>
          <w:fldChar w:fldCharType="begin"/>
        </w:r>
        <w:r w:rsidRPr="00F25260">
          <w:rPr>
            <w:rFonts w:ascii="Arial" w:hAnsi="Arial" w:cs="Arial"/>
          </w:rPr>
          <w:instrText>PAGE   \* MERGEFORMAT</w:instrText>
        </w:r>
        <w:r w:rsidRPr="00F25260">
          <w:rPr>
            <w:rFonts w:ascii="Arial" w:hAnsi="Arial" w:cs="Arial"/>
          </w:rPr>
          <w:fldChar w:fldCharType="separate"/>
        </w:r>
        <w:r w:rsidR="00752BD3" w:rsidRPr="00752BD3">
          <w:rPr>
            <w:rFonts w:ascii="Arial" w:hAnsi="Arial" w:cs="Arial"/>
            <w:noProof/>
            <w:lang w:val="zh-CN" w:eastAsia="zh-CN"/>
          </w:rPr>
          <w:t>2</w:t>
        </w:r>
        <w:r w:rsidRPr="00F25260">
          <w:rPr>
            <w:rFonts w:ascii="Arial" w:hAnsi="Arial" w:cs="Arial"/>
          </w:rPr>
          <w:fldChar w:fldCharType="end"/>
        </w:r>
      </w:p>
    </w:sdtContent>
  </w:sdt>
  <w:p w14:paraId="488D9799" w14:textId="77777777" w:rsidR="000D30CC" w:rsidRDefault="000D30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1B7C7" w14:textId="77777777" w:rsidR="005D3389" w:rsidRDefault="005D3389" w:rsidP="005C5D4D">
      <w:r>
        <w:separator/>
      </w:r>
    </w:p>
  </w:footnote>
  <w:footnote w:type="continuationSeparator" w:id="0">
    <w:p w14:paraId="4A26B4A3" w14:textId="77777777" w:rsidR="005D3389" w:rsidRDefault="005D3389" w:rsidP="005C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F9449" w14:textId="77777777" w:rsidR="000D30CC" w:rsidRDefault="000D30CC" w:rsidP="003D3277">
    <w:pPr>
      <w:jc w:val="right"/>
    </w:pPr>
    <w:r w:rsidRPr="003D3277">
      <w:rPr>
        <w:noProof/>
        <w:lang w:val="en-US" w:eastAsia="zh-CN"/>
      </w:rPr>
      <w:drawing>
        <wp:inline distT="0" distB="0" distL="0" distR="0" wp14:anchorId="6040C535" wp14:editId="2FDA6C94">
          <wp:extent cx="2324100" cy="790575"/>
          <wp:effectExtent l="0" t="0" r="0" b="9525"/>
          <wp:docPr id="5"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t="30659" b="34827"/>
                  <a:stretch>
                    <a:fillRect/>
                  </a:stretch>
                </pic:blipFill>
                <pic:spPr bwMode="auto">
                  <a:xfrm>
                    <a:off x="0" y="0"/>
                    <a:ext cx="23241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F4C37"/>
    <w:multiLevelType w:val="hybridMultilevel"/>
    <w:tmpl w:val="5C466A76"/>
    <w:lvl w:ilvl="0" w:tplc="FFFFFFFF">
      <w:start w:val="1"/>
      <w:numFmt w:val="bullet"/>
      <w:pStyle w:val="a"/>
      <w:lvlText w:val=""/>
      <w:lvlJc w:val="left"/>
      <w:pPr>
        <w:tabs>
          <w:tab w:val="num" w:pos="5557"/>
        </w:tabs>
        <w:ind w:left="5557" w:hanging="454"/>
      </w:pPr>
      <w:rPr>
        <w:rFonts w:ascii="Symbol" w:hAnsi="Symbol" w:hint="default"/>
        <w:color w:val="auto"/>
        <w:sz w:val="22"/>
        <w:szCs w:val="22"/>
      </w:rPr>
    </w:lvl>
    <w:lvl w:ilvl="1" w:tplc="FFFFFFFF">
      <w:start w:val="1"/>
      <w:numFmt w:val="bullet"/>
      <w:lvlText w:val=""/>
      <w:lvlJc w:val="left"/>
      <w:pPr>
        <w:tabs>
          <w:tab w:val="num" w:pos="5443"/>
        </w:tabs>
        <w:ind w:left="5443" w:hanging="340"/>
      </w:pPr>
      <w:rPr>
        <w:rFonts w:ascii="Symbol" w:hAnsi="Symbol" w:hint="default"/>
        <w:color w:val="auto"/>
        <w:sz w:val="22"/>
        <w:szCs w:val="22"/>
      </w:rPr>
    </w:lvl>
    <w:lvl w:ilvl="2" w:tplc="FFFFFFFF">
      <w:start w:val="1"/>
      <w:numFmt w:val="bullet"/>
      <w:lvlText w:val=""/>
      <w:lvlJc w:val="left"/>
      <w:pPr>
        <w:tabs>
          <w:tab w:val="num" w:pos="7263"/>
        </w:tabs>
        <w:ind w:left="7263" w:hanging="360"/>
      </w:pPr>
      <w:rPr>
        <w:rFonts w:ascii="Wingdings" w:hAnsi="Wingdings" w:hint="default"/>
      </w:rPr>
    </w:lvl>
    <w:lvl w:ilvl="3" w:tplc="FFFFFFFF" w:tentative="1">
      <w:start w:val="1"/>
      <w:numFmt w:val="bullet"/>
      <w:lvlText w:val=""/>
      <w:lvlJc w:val="left"/>
      <w:pPr>
        <w:tabs>
          <w:tab w:val="num" w:pos="7983"/>
        </w:tabs>
        <w:ind w:left="7983" w:hanging="360"/>
      </w:pPr>
      <w:rPr>
        <w:rFonts w:ascii="Symbol" w:hAnsi="Symbol" w:hint="default"/>
      </w:rPr>
    </w:lvl>
    <w:lvl w:ilvl="4" w:tplc="FFFFFFFF" w:tentative="1">
      <w:start w:val="1"/>
      <w:numFmt w:val="bullet"/>
      <w:lvlText w:val="o"/>
      <w:lvlJc w:val="left"/>
      <w:pPr>
        <w:tabs>
          <w:tab w:val="num" w:pos="8703"/>
        </w:tabs>
        <w:ind w:left="8703" w:hanging="360"/>
      </w:pPr>
      <w:rPr>
        <w:rFonts w:ascii="Courier New" w:hAnsi="Courier New" w:hint="default"/>
      </w:rPr>
    </w:lvl>
    <w:lvl w:ilvl="5" w:tplc="FFFFFFFF" w:tentative="1">
      <w:start w:val="1"/>
      <w:numFmt w:val="bullet"/>
      <w:lvlText w:val=""/>
      <w:lvlJc w:val="left"/>
      <w:pPr>
        <w:tabs>
          <w:tab w:val="num" w:pos="9423"/>
        </w:tabs>
        <w:ind w:left="9423" w:hanging="360"/>
      </w:pPr>
      <w:rPr>
        <w:rFonts w:ascii="Wingdings" w:hAnsi="Wingdings" w:hint="default"/>
      </w:rPr>
    </w:lvl>
    <w:lvl w:ilvl="6" w:tplc="FFFFFFFF" w:tentative="1">
      <w:start w:val="1"/>
      <w:numFmt w:val="bullet"/>
      <w:lvlText w:val=""/>
      <w:lvlJc w:val="left"/>
      <w:pPr>
        <w:tabs>
          <w:tab w:val="num" w:pos="10143"/>
        </w:tabs>
        <w:ind w:left="10143" w:hanging="360"/>
      </w:pPr>
      <w:rPr>
        <w:rFonts w:ascii="Symbol" w:hAnsi="Symbol" w:hint="default"/>
      </w:rPr>
    </w:lvl>
    <w:lvl w:ilvl="7" w:tplc="FFFFFFFF" w:tentative="1">
      <w:start w:val="1"/>
      <w:numFmt w:val="bullet"/>
      <w:lvlText w:val="o"/>
      <w:lvlJc w:val="left"/>
      <w:pPr>
        <w:tabs>
          <w:tab w:val="num" w:pos="10863"/>
        </w:tabs>
        <w:ind w:left="10863" w:hanging="360"/>
      </w:pPr>
      <w:rPr>
        <w:rFonts w:ascii="Courier New" w:hAnsi="Courier New" w:hint="default"/>
      </w:rPr>
    </w:lvl>
    <w:lvl w:ilvl="8" w:tplc="FFFFFFFF" w:tentative="1">
      <w:start w:val="1"/>
      <w:numFmt w:val="bullet"/>
      <w:lvlText w:val=""/>
      <w:lvlJc w:val="left"/>
      <w:pPr>
        <w:tabs>
          <w:tab w:val="num" w:pos="11583"/>
        </w:tabs>
        <w:ind w:left="11583" w:hanging="360"/>
      </w:pPr>
      <w:rPr>
        <w:rFonts w:ascii="Wingdings" w:hAnsi="Wingdings" w:hint="default"/>
      </w:rPr>
    </w:lvl>
  </w:abstractNum>
  <w:abstractNum w:abstractNumId="1">
    <w:nsid w:val="563C0086"/>
    <w:multiLevelType w:val="hybridMultilevel"/>
    <w:tmpl w:val="B9DA9538"/>
    <w:lvl w:ilvl="0" w:tplc="2900316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84"/>
    <w:rsid w:val="00003FE3"/>
    <w:rsid w:val="0000540D"/>
    <w:rsid w:val="000064E0"/>
    <w:rsid w:val="000112F8"/>
    <w:rsid w:val="00011D55"/>
    <w:rsid w:val="00012DB2"/>
    <w:rsid w:val="0002051A"/>
    <w:rsid w:val="00026DB8"/>
    <w:rsid w:val="00030610"/>
    <w:rsid w:val="0003464D"/>
    <w:rsid w:val="000354DA"/>
    <w:rsid w:val="00036ADD"/>
    <w:rsid w:val="00040236"/>
    <w:rsid w:val="00040D93"/>
    <w:rsid w:val="000420AA"/>
    <w:rsid w:val="00045B2A"/>
    <w:rsid w:val="00052B2B"/>
    <w:rsid w:val="00053186"/>
    <w:rsid w:val="0005415B"/>
    <w:rsid w:val="000543C0"/>
    <w:rsid w:val="00057ECA"/>
    <w:rsid w:val="00060F38"/>
    <w:rsid w:val="00061166"/>
    <w:rsid w:val="00061F09"/>
    <w:rsid w:val="00064658"/>
    <w:rsid w:val="000649EE"/>
    <w:rsid w:val="00065F0C"/>
    <w:rsid w:val="00070707"/>
    <w:rsid w:val="00071ABA"/>
    <w:rsid w:val="00075309"/>
    <w:rsid w:val="00076331"/>
    <w:rsid w:val="00080F3E"/>
    <w:rsid w:val="00081D0B"/>
    <w:rsid w:val="00082874"/>
    <w:rsid w:val="00084766"/>
    <w:rsid w:val="00087ADE"/>
    <w:rsid w:val="00090432"/>
    <w:rsid w:val="0009220C"/>
    <w:rsid w:val="000A6A6F"/>
    <w:rsid w:val="000B0355"/>
    <w:rsid w:val="000B106E"/>
    <w:rsid w:val="000B4B0D"/>
    <w:rsid w:val="000B6535"/>
    <w:rsid w:val="000C5389"/>
    <w:rsid w:val="000D08E0"/>
    <w:rsid w:val="000D30CC"/>
    <w:rsid w:val="000D4923"/>
    <w:rsid w:val="000D5CD0"/>
    <w:rsid w:val="000E5006"/>
    <w:rsid w:val="000E5C4B"/>
    <w:rsid w:val="000F040A"/>
    <w:rsid w:val="000F1248"/>
    <w:rsid w:val="000F16D0"/>
    <w:rsid w:val="000F5F7D"/>
    <w:rsid w:val="000F6AC4"/>
    <w:rsid w:val="001005A3"/>
    <w:rsid w:val="00105FE8"/>
    <w:rsid w:val="0011143B"/>
    <w:rsid w:val="001264FD"/>
    <w:rsid w:val="001267C1"/>
    <w:rsid w:val="0012743A"/>
    <w:rsid w:val="00133903"/>
    <w:rsid w:val="001368E2"/>
    <w:rsid w:val="00140590"/>
    <w:rsid w:val="00150EB6"/>
    <w:rsid w:val="00160AF7"/>
    <w:rsid w:val="001629D4"/>
    <w:rsid w:val="00184AD4"/>
    <w:rsid w:val="00184E19"/>
    <w:rsid w:val="00192582"/>
    <w:rsid w:val="0019394C"/>
    <w:rsid w:val="001B2CBA"/>
    <w:rsid w:val="001B2FC0"/>
    <w:rsid w:val="001B4169"/>
    <w:rsid w:val="001B6F20"/>
    <w:rsid w:val="001C0577"/>
    <w:rsid w:val="001C1B5C"/>
    <w:rsid w:val="001C51E3"/>
    <w:rsid w:val="001D2170"/>
    <w:rsid w:val="001D4C17"/>
    <w:rsid w:val="001D5E00"/>
    <w:rsid w:val="001E04EE"/>
    <w:rsid w:val="001F0CD0"/>
    <w:rsid w:val="001F17F8"/>
    <w:rsid w:val="001F272B"/>
    <w:rsid w:val="001F5029"/>
    <w:rsid w:val="001F6422"/>
    <w:rsid w:val="001F6FDD"/>
    <w:rsid w:val="00200395"/>
    <w:rsid w:val="00204B53"/>
    <w:rsid w:val="00204EF7"/>
    <w:rsid w:val="002121BE"/>
    <w:rsid w:val="00212F10"/>
    <w:rsid w:val="002153DD"/>
    <w:rsid w:val="00223945"/>
    <w:rsid w:val="00226EBD"/>
    <w:rsid w:val="002276B9"/>
    <w:rsid w:val="002336A2"/>
    <w:rsid w:val="00236F22"/>
    <w:rsid w:val="00240FB4"/>
    <w:rsid w:val="00253F18"/>
    <w:rsid w:val="0025504A"/>
    <w:rsid w:val="002603BA"/>
    <w:rsid w:val="002625EF"/>
    <w:rsid w:val="00262F63"/>
    <w:rsid w:val="00263287"/>
    <w:rsid w:val="00264665"/>
    <w:rsid w:val="00267A39"/>
    <w:rsid w:val="00272B21"/>
    <w:rsid w:val="0027312E"/>
    <w:rsid w:val="00274DC4"/>
    <w:rsid w:val="00276246"/>
    <w:rsid w:val="002801D5"/>
    <w:rsid w:val="00280F78"/>
    <w:rsid w:val="002867A2"/>
    <w:rsid w:val="00290AB7"/>
    <w:rsid w:val="0029341B"/>
    <w:rsid w:val="00294F5B"/>
    <w:rsid w:val="002A32ED"/>
    <w:rsid w:val="002A6AE4"/>
    <w:rsid w:val="002A7553"/>
    <w:rsid w:val="002B256D"/>
    <w:rsid w:val="002C2F6F"/>
    <w:rsid w:val="002D163A"/>
    <w:rsid w:val="002D186D"/>
    <w:rsid w:val="002D7EF0"/>
    <w:rsid w:val="002E07F4"/>
    <w:rsid w:val="002E2C0D"/>
    <w:rsid w:val="002F62F9"/>
    <w:rsid w:val="00302EF2"/>
    <w:rsid w:val="00303BB3"/>
    <w:rsid w:val="003047C3"/>
    <w:rsid w:val="00305B61"/>
    <w:rsid w:val="003104DE"/>
    <w:rsid w:val="00321CB6"/>
    <w:rsid w:val="00321F03"/>
    <w:rsid w:val="0032483E"/>
    <w:rsid w:val="00332352"/>
    <w:rsid w:val="00333760"/>
    <w:rsid w:val="00334E40"/>
    <w:rsid w:val="0033654C"/>
    <w:rsid w:val="00343F3C"/>
    <w:rsid w:val="003459B4"/>
    <w:rsid w:val="00351A44"/>
    <w:rsid w:val="00354143"/>
    <w:rsid w:val="00354C0F"/>
    <w:rsid w:val="003561AA"/>
    <w:rsid w:val="00357386"/>
    <w:rsid w:val="00363CFA"/>
    <w:rsid w:val="003645D4"/>
    <w:rsid w:val="00366543"/>
    <w:rsid w:val="00367DEB"/>
    <w:rsid w:val="003705FB"/>
    <w:rsid w:val="003722BA"/>
    <w:rsid w:val="003724ED"/>
    <w:rsid w:val="00376ADB"/>
    <w:rsid w:val="00377548"/>
    <w:rsid w:val="00382964"/>
    <w:rsid w:val="00382FD0"/>
    <w:rsid w:val="00382FE3"/>
    <w:rsid w:val="003865AF"/>
    <w:rsid w:val="00386D3D"/>
    <w:rsid w:val="003903FC"/>
    <w:rsid w:val="00395C17"/>
    <w:rsid w:val="003A2E4F"/>
    <w:rsid w:val="003A3940"/>
    <w:rsid w:val="003A51A6"/>
    <w:rsid w:val="003B053B"/>
    <w:rsid w:val="003B0A35"/>
    <w:rsid w:val="003B1DF5"/>
    <w:rsid w:val="003B525B"/>
    <w:rsid w:val="003B61A8"/>
    <w:rsid w:val="003C0CD3"/>
    <w:rsid w:val="003C1483"/>
    <w:rsid w:val="003C4AB4"/>
    <w:rsid w:val="003C67DB"/>
    <w:rsid w:val="003C6C26"/>
    <w:rsid w:val="003C7A7D"/>
    <w:rsid w:val="003D3277"/>
    <w:rsid w:val="003D52FC"/>
    <w:rsid w:val="003E32A5"/>
    <w:rsid w:val="003F259F"/>
    <w:rsid w:val="003F26D9"/>
    <w:rsid w:val="003F3784"/>
    <w:rsid w:val="003F3ED6"/>
    <w:rsid w:val="003F60D0"/>
    <w:rsid w:val="003F642A"/>
    <w:rsid w:val="00404D47"/>
    <w:rsid w:val="00416C4A"/>
    <w:rsid w:val="00426961"/>
    <w:rsid w:val="004278A4"/>
    <w:rsid w:val="00441754"/>
    <w:rsid w:val="004424CF"/>
    <w:rsid w:val="00444386"/>
    <w:rsid w:val="00457AD6"/>
    <w:rsid w:val="00462C8E"/>
    <w:rsid w:val="00464BA4"/>
    <w:rsid w:val="00465BDE"/>
    <w:rsid w:val="00470B35"/>
    <w:rsid w:val="004717E3"/>
    <w:rsid w:val="004757BC"/>
    <w:rsid w:val="00475831"/>
    <w:rsid w:val="00482B2F"/>
    <w:rsid w:val="00483B18"/>
    <w:rsid w:val="00484F09"/>
    <w:rsid w:val="00485CFA"/>
    <w:rsid w:val="00486D26"/>
    <w:rsid w:val="004A2E9D"/>
    <w:rsid w:val="004A51CE"/>
    <w:rsid w:val="004A5B3F"/>
    <w:rsid w:val="004A7D7D"/>
    <w:rsid w:val="004B6DC8"/>
    <w:rsid w:val="004C1647"/>
    <w:rsid w:val="004E2B82"/>
    <w:rsid w:val="004E6B9E"/>
    <w:rsid w:val="004E764E"/>
    <w:rsid w:val="004F392D"/>
    <w:rsid w:val="0050621B"/>
    <w:rsid w:val="005106B8"/>
    <w:rsid w:val="00510E68"/>
    <w:rsid w:val="005127A2"/>
    <w:rsid w:val="00512F36"/>
    <w:rsid w:val="00516381"/>
    <w:rsid w:val="005169FD"/>
    <w:rsid w:val="005175B8"/>
    <w:rsid w:val="00521638"/>
    <w:rsid w:val="00523EF2"/>
    <w:rsid w:val="005249FF"/>
    <w:rsid w:val="005339AE"/>
    <w:rsid w:val="005401D8"/>
    <w:rsid w:val="005406B7"/>
    <w:rsid w:val="0054165D"/>
    <w:rsid w:val="00544EFF"/>
    <w:rsid w:val="00560B8D"/>
    <w:rsid w:val="00562264"/>
    <w:rsid w:val="00563356"/>
    <w:rsid w:val="005702DD"/>
    <w:rsid w:val="00575A6D"/>
    <w:rsid w:val="00580F6C"/>
    <w:rsid w:val="00591C5B"/>
    <w:rsid w:val="005924BD"/>
    <w:rsid w:val="00592E29"/>
    <w:rsid w:val="005947EC"/>
    <w:rsid w:val="00595751"/>
    <w:rsid w:val="005A2DB0"/>
    <w:rsid w:val="005A44BC"/>
    <w:rsid w:val="005A62B9"/>
    <w:rsid w:val="005B2ECA"/>
    <w:rsid w:val="005B449D"/>
    <w:rsid w:val="005B58B8"/>
    <w:rsid w:val="005B5EDE"/>
    <w:rsid w:val="005B6EFF"/>
    <w:rsid w:val="005C0FAC"/>
    <w:rsid w:val="005C1FEE"/>
    <w:rsid w:val="005C5D4D"/>
    <w:rsid w:val="005D112A"/>
    <w:rsid w:val="005D3389"/>
    <w:rsid w:val="005D546D"/>
    <w:rsid w:val="005D647C"/>
    <w:rsid w:val="005E5954"/>
    <w:rsid w:val="005F1D19"/>
    <w:rsid w:val="005F73F1"/>
    <w:rsid w:val="0060541F"/>
    <w:rsid w:val="00606C60"/>
    <w:rsid w:val="00620DFF"/>
    <w:rsid w:val="00622EAD"/>
    <w:rsid w:val="00625C10"/>
    <w:rsid w:val="006272FB"/>
    <w:rsid w:val="006363DD"/>
    <w:rsid w:val="0064081B"/>
    <w:rsid w:val="00640CDE"/>
    <w:rsid w:val="00640F2D"/>
    <w:rsid w:val="0064195F"/>
    <w:rsid w:val="00641DD3"/>
    <w:rsid w:val="0064303E"/>
    <w:rsid w:val="00651BC2"/>
    <w:rsid w:val="00653C20"/>
    <w:rsid w:val="00653C79"/>
    <w:rsid w:val="00655107"/>
    <w:rsid w:val="006577B3"/>
    <w:rsid w:val="00664EC4"/>
    <w:rsid w:val="006671C4"/>
    <w:rsid w:val="006673D3"/>
    <w:rsid w:val="0067457A"/>
    <w:rsid w:val="006808DD"/>
    <w:rsid w:val="0068202E"/>
    <w:rsid w:val="00683A44"/>
    <w:rsid w:val="006866EE"/>
    <w:rsid w:val="006A7E8C"/>
    <w:rsid w:val="006B087C"/>
    <w:rsid w:val="006B4D8F"/>
    <w:rsid w:val="006B7D5B"/>
    <w:rsid w:val="006B7EE8"/>
    <w:rsid w:val="006C596D"/>
    <w:rsid w:val="006C72A4"/>
    <w:rsid w:val="006D0754"/>
    <w:rsid w:val="006D323D"/>
    <w:rsid w:val="006E5400"/>
    <w:rsid w:val="006E5F5C"/>
    <w:rsid w:val="006F0B87"/>
    <w:rsid w:val="006F22AA"/>
    <w:rsid w:val="006F42D8"/>
    <w:rsid w:val="006F5A19"/>
    <w:rsid w:val="006F694B"/>
    <w:rsid w:val="007044B8"/>
    <w:rsid w:val="007048DC"/>
    <w:rsid w:val="00706C99"/>
    <w:rsid w:val="00713FE0"/>
    <w:rsid w:val="00715ABB"/>
    <w:rsid w:val="00715F3D"/>
    <w:rsid w:val="007254B6"/>
    <w:rsid w:val="0072701C"/>
    <w:rsid w:val="00730798"/>
    <w:rsid w:val="007311D0"/>
    <w:rsid w:val="007336C5"/>
    <w:rsid w:val="00734231"/>
    <w:rsid w:val="007359AB"/>
    <w:rsid w:val="00736FE0"/>
    <w:rsid w:val="00737020"/>
    <w:rsid w:val="00747427"/>
    <w:rsid w:val="00747912"/>
    <w:rsid w:val="00752BD3"/>
    <w:rsid w:val="007531BF"/>
    <w:rsid w:val="00753DAC"/>
    <w:rsid w:val="00756EA8"/>
    <w:rsid w:val="00767E0F"/>
    <w:rsid w:val="00775763"/>
    <w:rsid w:val="00775A17"/>
    <w:rsid w:val="00776A1C"/>
    <w:rsid w:val="007775F8"/>
    <w:rsid w:val="007842A3"/>
    <w:rsid w:val="0078567F"/>
    <w:rsid w:val="00791263"/>
    <w:rsid w:val="007937A5"/>
    <w:rsid w:val="007958C1"/>
    <w:rsid w:val="007A1FA2"/>
    <w:rsid w:val="007A23C7"/>
    <w:rsid w:val="007B28F4"/>
    <w:rsid w:val="007B3719"/>
    <w:rsid w:val="007B3FF5"/>
    <w:rsid w:val="007B4265"/>
    <w:rsid w:val="007C0E92"/>
    <w:rsid w:val="007C22E8"/>
    <w:rsid w:val="007C3712"/>
    <w:rsid w:val="007D0DF9"/>
    <w:rsid w:val="007D6A22"/>
    <w:rsid w:val="007D7D7E"/>
    <w:rsid w:val="007E0001"/>
    <w:rsid w:val="007E0C65"/>
    <w:rsid w:val="007E382D"/>
    <w:rsid w:val="007E3E97"/>
    <w:rsid w:val="007E55EE"/>
    <w:rsid w:val="007F14FA"/>
    <w:rsid w:val="007F4C73"/>
    <w:rsid w:val="007F5008"/>
    <w:rsid w:val="00805EDB"/>
    <w:rsid w:val="008101EE"/>
    <w:rsid w:val="00811BCD"/>
    <w:rsid w:val="00816F59"/>
    <w:rsid w:val="00822F9C"/>
    <w:rsid w:val="008255B7"/>
    <w:rsid w:val="00830087"/>
    <w:rsid w:val="0083032A"/>
    <w:rsid w:val="0083057A"/>
    <w:rsid w:val="00830817"/>
    <w:rsid w:val="0083082A"/>
    <w:rsid w:val="00830D7C"/>
    <w:rsid w:val="00836526"/>
    <w:rsid w:val="00836E06"/>
    <w:rsid w:val="00861A05"/>
    <w:rsid w:val="00863A99"/>
    <w:rsid w:val="00872F0A"/>
    <w:rsid w:val="008740C3"/>
    <w:rsid w:val="0087679F"/>
    <w:rsid w:val="0088251B"/>
    <w:rsid w:val="00882756"/>
    <w:rsid w:val="008829F0"/>
    <w:rsid w:val="00890A44"/>
    <w:rsid w:val="0089323F"/>
    <w:rsid w:val="0089565F"/>
    <w:rsid w:val="008A16F2"/>
    <w:rsid w:val="008A5CD6"/>
    <w:rsid w:val="008A67D2"/>
    <w:rsid w:val="008B3DC8"/>
    <w:rsid w:val="008B610B"/>
    <w:rsid w:val="008B6B77"/>
    <w:rsid w:val="008C19E4"/>
    <w:rsid w:val="008C1B6D"/>
    <w:rsid w:val="008C281C"/>
    <w:rsid w:val="008C5865"/>
    <w:rsid w:val="008C5F9A"/>
    <w:rsid w:val="008D1FC0"/>
    <w:rsid w:val="008D2D02"/>
    <w:rsid w:val="008D6D96"/>
    <w:rsid w:val="008E19A1"/>
    <w:rsid w:val="008E61B2"/>
    <w:rsid w:val="008E65DD"/>
    <w:rsid w:val="008F0458"/>
    <w:rsid w:val="008F3A6F"/>
    <w:rsid w:val="008F4033"/>
    <w:rsid w:val="008F7AF6"/>
    <w:rsid w:val="00905A73"/>
    <w:rsid w:val="00907680"/>
    <w:rsid w:val="00907740"/>
    <w:rsid w:val="009124BC"/>
    <w:rsid w:val="00923C99"/>
    <w:rsid w:val="00924850"/>
    <w:rsid w:val="00924CAD"/>
    <w:rsid w:val="00927B9A"/>
    <w:rsid w:val="00930148"/>
    <w:rsid w:val="009322DF"/>
    <w:rsid w:val="00932740"/>
    <w:rsid w:val="00934796"/>
    <w:rsid w:val="00936A14"/>
    <w:rsid w:val="00936C46"/>
    <w:rsid w:val="0093712B"/>
    <w:rsid w:val="00947C36"/>
    <w:rsid w:val="0095717E"/>
    <w:rsid w:val="009577FF"/>
    <w:rsid w:val="0096190F"/>
    <w:rsid w:val="00962094"/>
    <w:rsid w:val="00962CD4"/>
    <w:rsid w:val="00963B28"/>
    <w:rsid w:val="009667B5"/>
    <w:rsid w:val="0097176D"/>
    <w:rsid w:val="009717B1"/>
    <w:rsid w:val="00973317"/>
    <w:rsid w:val="0098054F"/>
    <w:rsid w:val="0098202D"/>
    <w:rsid w:val="00990AF3"/>
    <w:rsid w:val="009A2706"/>
    <w:rsid w:val="009A7DB5"/>
    <w:rsid w:val="009B543F"/>
    <w:rsid w:val="009C05B0"/>
    <w:rsid w:val="009C0E61"/>
    <w:rsid w:val="009C39D7"/>
    <w:rsid w:val="009C68A2"/>
    <w:rsid w:val="009D0705"/>
    <w:rsid w:val="009D3681"/>
    <w:rsid w:val="009D5506"/>
    <w:rsid w:val="009E4084"/>
    <w:rsid w:val="009E4727"/>
    <w:rsid w:val="009F086E"/>
    <w:rsid w:val="009F2211"/>
    <w:rsid w:val="009F23E5"/>
    <w:rsid w:val="009F2A48"/>
    <w:rsid w:val="009F4604"/>
    <w:rsid w:val="009F4FBF"/>
    <w:rsid w:val="009F542C"/>
    <w:rsid w:val="009F6D8A"/>
    <w:rsid w:val="00A03518"/>
    <w:rsid w:val="00A03FD1"/>
    <w:rsid w:val="00A126DA"/>
    <w:rsid w:val="00A13019"/>
    <w:rsid w:val="00A13A51"/>
    <w:rsid w:val="00A13BE8"/>
    <w:rsid w:val="00A16BD0"/>
    <w:rsid w:val="00A272B1"/>
    <w:rsid w:val="00A3348D"/>
    <w:rsid w:val="00A35FAE"/>
    <w:rsid w:val="00A3684D"/>
    <w:rsid w:val="00A36B6D"/>
    <w:rsid w:val="00A44A6E"/>
    <w:rsid w:val="00A4753A"/>
    <w:rsid w:val="00A5184D"/>
    <w:rsid w:val="00A55318"/>
    <w:rsid w:val="00A56265"/>
    <w:rsid w:val="00A65EE9"/>
    <w:rsid w:val="00A6682D"/>
    <w:rsid w:val="00A72AB9"/>
    <w:rsid w:val="00A72C87"/>
    <w:rsid w:val="00A75C7E"/>
    <w:rsid w:val="00A760FB"/>
    <w:rsid w:val="00A82B33"/>
    <w:rsid w:val="00A858F6"/>
    <w:rsid w:val="00A85B07"/>
    <w:rsid w:val="00A8651A"/>
    <w:rsid w:val="00A87AEB"/>
    <w:rsid w:val="00A91C0C"/>
    <w:rsid w:val="00A92B88"/>
    <w:rsid w:val="00A94ACF"/>
    <w:rsid w:val="00AA0454"/>
    <w:rsid w:val="00AA452C"/>
    <w:rsid w:val="00AA66D6"/>
    <w:rsid w:val="00AB0283"/>
    <w:rsid w:val="00AB10DC"/>
    <w:rsid w:val="00AB192B"/>
    <w:rsid w:val="00AB210E"/>
    <w:rsid w:val="00AB47DA"/>
    <w:rsid w:val="00AC1E12"/>
    <w:rsid w:val="00AC33DB"/>
    <w:rsid w:val="00AC7471"/>
    <w:rsid w:val="00AD00C9"/>
    <w:rsid w:val="00AD324B"/>
    <w:rsid w:val="00AD6088"/>
    <w:rsid w:val="00AE0722"/>
    <w:rsid w:val="00AE2C35"/>
    <w:rsid w:val="00AF587F"/>
    <w:rsid w:val="00AF608C"/>
    <w:rsid w:val="00AF6AD5"/>
    <w:rsid w:val="00AF7229"/>
    <w:rsid w:val="00B005A7"/>
    <w:rsid w:val="00B059B8"/>
    <w:rsid w:val="00B13352"/>
    <w:rsid w:val="00B1537F"/>
    <w:rsid w:val="00B22ABD"/>
    <w:rsid w:val="00B24412"/>
    <w:rsid w:val="00B250C4"/>
    <w:rsid w:val="00B262CB"/>
    <w:rsid w:val="00B27C2F"/>
    <w:rsid w:val="00B31113"/>
    <w:rsid w:val="00B3188B"/>
    <w:rsid w:val="00B37945"/>
    <w:rsid w:val="00B416D2"/>
    <w:rsid w:val="00B41F59"/>
    <w:rsid w:val="00B440B4"/>
    <w:rsid w:val="00B51218"/>
    <w:rsid w:val="00B52F25"/>
    <w:rsid w:val="00B5766A"/>
    <w:rsid w:val="00B620BD"/>
    <w:rsid w:val="00B6680A"/>
    <w:rsid w:val="00B86E69"/>
    <w:rsid w:val="00B87220"/>
    <w:rsid w:val="00B93C51"/>
    <w:rsid w:val="00B9657D"/>
    <w:rsid w:val="00B97CD8"/>
    <w:rsid w:val="00BA1F0B"/>
    <w:rsid w:val="00BA6D06"/>
    <w:rsid w:val="00BB0C16"/>
    <w:rsid w:val="00BB1321"/>
    <w:rsid w:val="00BB1825"/>
    <w:rsid w:val="00BB2543"/>
    <w:rsid w:val="00BB3A9F"/>
    <w:rsid w:val="00BB48ED"/>
    <w:rsid w:val="00BB7464"/>
    <w:rsid w:val="00BC1BB1"/>
    <w:rsid w:val="00BC7674"/>
    <w:rsid w:val="00BC7C56"/>
    <w:rsid w:val="00BE3163"/>
    <w:rsid w:val="00BE6C42"/>
    <w:rsid w:val="00BF0459"/>
    <w:rsid w:val="00BF0638"/>
    <w:rsid w:val="00BF6679"/>
    <w:rsid w:val="00BF7B4F"/>
    <w:rsid w:val="00C033CE"/>
    <w:rsid w:val="00C0492C"/>
    <w:rsid w:val="00C05C37"/>
    <w:rsid w:val="00C125BA"/>
    <w:rsid w:val="00C14691"/>
    <w:rsid w:val="00C14916"/>
    <w:rsid w:val="00C14BE1"/>
    <w:rsid w:val="00C16A02"/>
    <w:rsid w:val="00C2092A"/>
    <w:rsid w:val="00C23BAC"/>
    <w:rsid w:val="00C25623"/>
    <w:rsid w:val="00C279E1"/>
    <w:rsid w:val="00C27A52"/>
    <w:rsid w:val="00C27C51"/>
    <w:rsid w:val="00C30E63"/>
    <w:rsid w:val="00C31D44"/>
    <w:rsid w:val="00C320AC"/>
    <w:rsid w:val="00C32CCB"/>
    <w:rsid w:val="00C400B6"/>
    <w:rsid w:val="00C4065A"/>
    <w:rsid w:val="00C4183D"/>
    <w:rsid w:val="00C42A2E"/>
    <w:rsid w:val="00C50555"/>
    <w:rsid w:val="00C524DC"/>
    <w:rsid w:val="00C54644"/>
    <w:rsid w:val="00C54788"/>
    <w:rsid w:val="00C62963"/>
    <w:rsid w:val="00C66D01"/>
    <w:rsid w:val="00C73E00"/>
    <w:rsid w:val="00C8172E"/>
    <w:rsid w:val="00C86CDB"/>
    <w:rsid w:val="00C86DA7"/>
    <w:rsid w:val="00C9086F"/>
    <w:rsid w:val="00C9168D"/>
    <w:rsid w:val="00C96482"/>
    <w:rsid w:val="00C97AFA"/>
    <w:rsid w:val="00CA5760"/>
    <w:rsid w:val="00CA6039"/>
    <w:rsid w:val="00CA75B3"/>
    <w:rsid w:val="00CB3C02"/>
    <w:rsid w:val="00CC02E5"/>
    <w:rsid w:val="00CC17D4"/>
    <w:rsid w:val="00CC3557"/>
    <w:rsid w:val="00CC3933"/>
    <w:rsid w:val="00CD05D2"/>
    <w:rsid w:val="00CD32DD"/>
    <w:rsid w:val="00CD36B2"/>
    <w:rsid w:val="00CD47F0"/>
    <w:rsid w:val="00CD4B1F"/>
    <w:rsid w:val="00CD5005"/>
    <w:rsid w:val="00CD7DC7"/>
    <w:rsid w:val="00CE0ABE"/>
    <w:rsid w:val="00CE4D28"/>
    <w:rsid w:val="00CE74C8"/>
    <w:rsid w:val="00CE759D"/>
    <w:rsid w:val="00CF01BF"/>
    <w:rsid w:val="00CF3964"/>
    <w:rsid w:val="00CF5311"/>
    <w:rsid w:val="00CF616E"/>
    <w:rsid w:val="00D109EB"/>
    <w:rsid w:val="00D112E4"/>
    <w:rsid w:val="00D12A78"/>
    <w:rsid w:val="00D15197"/>
    <w:rsid w:val="00D22240"/>
    <w:rsid w:val="00D2269E"/>
    <w:rsid w:val="00D2315B"/>
    <w:rsid w:val="00D2385D"/>
    <w:rsid w:val="00D27B78"/>
    <w:rsid w:val="00D34550"/>
    <w:rsid w:val="00D349D8"/>
    <w:rsid w:val="00D41ACB"/>
    <w:rsid w:val="00D464A2"/>
    <w:rsid w:val="00D545DF"/>
    <w:rsid w:val="00D579FC"/>
    <w:rsid w:val="00D57B82"/>
    <w:rsid w:val="00D6346B"/>
    <w:rsid w:val="00D66363"/>
    <w:rsid w:val="00D7195A"/>
    <w:rsid w:val="00D72640"/>
    <w:rsid w:val="00D733D3"/>
    <w:rsid w:val="00D73E2D"/>
    <w:rsid w:val="00D80167"/>
    <w:rsid w:val="00D81C9E"/>
    <w:rsid w:val="00D82AD2"/>
    <w:rsid w:val="00D84300"/>
    <w:rsid w:val="00D86B32"/>
    <w:rsid w:val="00D90194"/>
    <w:rsid w:val="00D903F1"/>
    <w:rsid w:val="00D95D30"/>
    <w:rsid w:val="00D9631D"/>
    <w:rsid w:val="00D966E2"/>
    <w:rsid w:val="00DA0866"/>
    <w:rsid w:val="00DA4283"/>
    <w:rsid w:val="00DA5B8F"/>
    <w:rsid w:val="00DA7863"/>
    <w:rsid w:val="00DB0014"/>
    <w:rsid w:val="00DB0F42"/>
    <w:rsid w:val="00DC79BD"/>
    <w:rsid w:val="00DD113A"/>
    <w:rsid w:val="00DE6378"/>
    <w:rsid w:val="00DF0BDE"/>
    <w:rsid w:val="00DF1564"/>
    <w:rsid w:val="00DF575D"/>
    <w:rsid w:val="00DF6315"/>
    <w:rsid w:val="00E02A09"/>
    <w:rsid w:val="00E07385"/>
    <w:rsid w:val="00E113A3"/>
    <w:rsid w:val="00E1411E"/>
    <w:rsid w:val="00E14B56"/>
    <w:rsid w:val="00E208B6"/>
    <w:rsid w:val="00E22B77"/>
    <w:rsid w:val="00E2342F"/>
    <w:rsid w:val="00E23836"/>
    <w:rsid w:val="00E23DC4"/>
    <w:rsid w:val="00E26A2E"/>
    <w:rsid w:val="00E279E8"/>
    <w:rsid w:val="00E32AF3"/>
    <w:rsid w:val="00E45EC7"/>
    <w:rsid w:val="00E47DDD"/>
    <w:rsid w:val="00E530C3"/>
    <w:rsid w:val="00E55440"/>
    <w:rsid w:val="00E57322"/>
    <w:rsid w:val="00E67990"/>
    <w:rsid w:val="00E80008"/>
    <w:rsid w:val="00E82571"/>
    <w:rsid w:val="00E8269E"/>
    <w:rsid w:val="00E86277"/>
    <w:rsid w:val="00E9681E"/>
    <w:rsid w:val="00EA0B72"/>
    <w:rsid w:val="00EA21D1"/>
    <w:rsid w:val="00EA3519"/>
    <w:rsid w:val="00EA401D"/>
    <w:rsid w:val="00EA6035"/>
    <w:rsid w:val="00EA734D"/>
    <w:rsid w:val="00EB4040"/>
    <w:rsid w:val="00EB6471"/>
    <w:rsid w:val="00EC137F"/>
    <w:rsid w:val="00EC1F57"/>
    <w:rsid w:val="00EC2CB7"/>
    <w:rsid w:val="00EC4318"/>
    <w:rsid w:val="00EC7E67"/>
    <w:rsid w:val="00ED1A4B"/>
    <w:rsid w:val="00ED415E"/>
    <w:rsid w:val="00ED5DD4"/>
    <w:rsid w:val="00EE3188"/>
    <w:rsid w:val="00EE32B6"/>
    <w:rsid w:val="00EE5209"/>
    <w:rsid w:val="00EF2F45"/>
    <w:rsid w:val="00EF5969"/>
    <w:rsid w:val="00F03DC8"/>
    <w:rsid w:val="00F053E5"/>
    <w:rsid w:val="00F079EE"/>
    <w:rsid w:val="00F07B56"/>
    <w:rsid w:val="00F110D1"/>
    <w:rsid w:val="00F11200"/>
    <w:rsid w:val="00F1545E"/>
    <w:rsid w:val="00F20C48"/>
    <w:rsid w:val="00F24861"/>
    <w:rsid w:val="00F25260"/>
    <w:rsid w:val="00F25A3A"/>
    <w:rsid w:val="00F34434"/>
    <w:rsid w:val="00F46A91"/>
    <w:rsid w:val="00F51A70"/>
    <w:rsid w:val="00F52BF4"/>
    <w:rsid w:val="00F54D56"/>
    <w:rsid w:val="00F57458"/>
    <w:rsid w:val="00F5789F"/>
    <w:rsid w:val="00F6605F"/>
    <w:rsid w:val="00F665E0"/>
    <w:rsid w:val="00F67387"/>
    <w:rsid w:val="00F67631"/>
    <w:rsid w:val="00F67B1E"/>
    <w:rsid w:val="00F67D3D"/>
    <w:rsid w:val="00F76CAD"/>
    <w:rsid w:val="00F773AC"/>
    <w:rsid w:val="00F85135"/>
    <w:rsid w:val="00F92F51"/>
    <w:rsid w:val="00F94E8F"/>
    <w:rsid w:val="00F967B6"/>
    <w:rsid w:val="00FB082D"/>
    <w:rsid w:val="00FB4D8B"/>
    <w:rsid w:val="00FB64E6"/>
    <w:rsid w:val="00FC17EF"/>
    <w:rsid w:val="00FC5B07"/>
    <w:rsid w:val="00FD325F"/>
    <w:rsid w:val="00FD5107"/>
    <w:rsid w:val="00FD6824"/>
    <w:rsid w:val="00FD6C86"/>
    <w:rsid w:val="00FF4B9A"/>
    <w:rsid w:val="00FF4D0C"/>
    <w:rsid w:val="00FF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6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4084"/>
    <w:rPr>
      <w:rFonts w:ascii="Times New Roman" w:eastAsia="华文楷体" w:hAnsi="Times New Roman" w:cs="Times New Roman"/>
      <w:kern w:val="0"/>
      <w:sz w:val="22"/>
      <w:lang w:val="en-GB" w:eastAsia="en-US"/>
    </w:rPr>
  </w:style>
  <w:style w:type="paragraph" w:styleId="1">
    <w:name w:val="heading 1"/>
    <w:next w:val="a1"/>
    <w:link w:val="1Char"/>
    <w:autoRedefine/>
    <w:uiPriority w:val="9"/>
    <w:qFormat/>
    <w:rsid w:val="009E4084"/>
    <w:pPr>
      <w:pageBreakBefore/>
      <w:spacing w:beforeLines="100" w:before="240" w:afterLines="50" w:after="120"/>
      <w:outlineLvl w:val="0"/>
    </w:pPr>
    <w:rPr>
      <w:rFonts w:ascii="彩虹黑体" w:eastAsia="彩虹黑体" w:hAnsi="Arial" w:cs="Times New Roman"/>
      <w:kern w:val="0"/>
      <w:sz w:val="30"/>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9E4084"/>
    <w:rPr>
      <w:rFonts w:ascii="彩虹黑体" w:eastAsia="彩虹黑体" w:hAnsi="Arial" w:cs="Times New Roman"/>
      <w:kern w:val="0"/>
      <w:sz w:val="30"/>
      <w:szCs w:val="30"/>
    </w:rPr>
  </w:style>
  <w:style w:type="paragraph" w:styleId="a">
    <w:name w:val="List Bullet"/>
    <w:basedOn w:val="a1"/>
    <w:uiPriority w:val="99"/>
    <w:rsid w:val="009E4084"/>
    <w:pPr>
      <w:numPr>
        <w:numId w:val="1"/>
      </w:numPr>
      <w:tabs>
        <w:tab w:val="clear" w:pos="5557"/>
        <w:tab w:val="num" w:pos="360"/>
      </w:tabs>
      <w:spacing w:before="130" w:after="130"/>
      <w:ind w:left="0" w:firstLine="0"/>
      <w:jc w:val="both"/>
    </w:pPr>
    <w:rPr>
      <w:rFonts w:ascii="Tms Rmn" w:hAnsi="Tms Rmn"/>
    </w:rPr>
  </w:style>
  <w:style w:type="paragraph" w:styleId="a1">
    <w:name w:val="Body Text"/>
    <w:basedOn w:val="a0"/>
    <w:link w:val="Char"/>
    <w:uiPriority w:val="99"/>
    <w:unhideWhenUsed/>
    <w:rsid w:val="009E4084"/>
    <w:pPr>
      <w:spacing w:after="120"/>
    </w:pPr>
  </w:style>
  <w:style w:type="character" w:customStyle="1" w:styleId="Char">
    <w:name w:val="正文文本 Char"/>
    <w:basedOn w:val="a2"/>
    <w:link w:val="a1"/>
    <w:uiPriority w:val="99"/>
    <w:rsid w:val="009E4084"/>
    <w:rPr>
      <w:rFonts w:ascii="Times New Roman" w:eastAsia="华文楷体" w:hAnsi="Times New Roman" w:cs="Times New Roman"/>
      <w:kern w:val="0"/>
      <w:sz w:val="22"/>
      <w:lang w:val="en-GB" w:eastAsia="en-US"/>
    </w:rPr>
  </w:style>
  <w:style w:type="paragraph" w:styleId="a5">
    <w:name w:val="header"/>
    <w:basedOn w:val="a0"/>
    <w:link w:val="Char0"/>
    <w:uiPriority w:val="99"/>
    <w:unhideWhenUsed/>
    <w:rsid w:val="005C5D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5"/>
    <w:uiPriority w:val="99"/>
    <w:rsid w:val="005C5D4D"/>
    <w:rPr>
      <w:rFonts w:ascii="Times New Roman" w:eastAsia="华文楷体" w:hAnsi="Times New Roman" w:cs="Times New Roman"/>
      <w:kern w:val="0"/>
      <w:sz w:val="18"/>
      <w:szCs w:val="18"/>
      <w:lang w:val="en-GB" w:eastAsia="en-US"/>
    </w:rPr>
  </w:style>
  <w:style w:type="paragraph" w:styleId="a6">
    <w:name w:val="footer"/>
    <w:basedOn w:val="a0"/>
    <w:link w:val="Char1"/>
    <w:uiPriority w:val="99"/>
    <w:unhideWhenUsed/>
    <w:rsid w:val="005C5D4D"/>
    <w:pPr>
      <w:tabs>
        <w:tab w:val="center" w:pos="4153"/>
        <w:tab w:val="right" w:pos="8306"/>
      </w:tabs>
      <w:snapToGrid w:val="0"/>
    </w:pPr>
    <w:rPr>
      <w:sz w:val="18"/>
      <w:szCs w:val="18"/>
    </w:rPr>
  </w:style>
  <w:style w:type="character" w:customStyle="1" w:styleId="Char1">
    <w:name w:val="页脚 Char"/>
    <w:basedOn w:val="a2"/>
    <w:link w:val="a6"/>
    <w:uiPriority w:val="99"/>
    <w:rsid w:val="005C5D4D"/>
    <w:rPr>
      <w:rFonts w:ascii="Times New Roman" w:eastAsia="华文楷体" w:hAnsi="Times New Roman" w:cs="Times New Roman"/>
      <w:kern w:val="0"/>
      <w:sz w:val="18"/>
      <w:szCs w:val="18"/>
      <w:lang w:val="en-GB" w:eastAsia="en-US"/>
    </w:rPr>
  </w:style>
  <w:style w:type="paragraph" w:styleId="a7">
    <w:name w:val="Balloon Text"/>
    <w:basedOn w:val="a0"/>
    <w:link w:val="Char2"/>
    <w:uiPriority w:val="99"/>
    <w:semiHidden/>
    <w:unhideWhenUsed/>
    <w:rsid w:val="00A272B1"/>
    <w:rPr>
      <w:sz w:val="18"/>
      <w:szCs w:val="18"/>
    </w:rPr>
  </w:style>
  <w:style w:type="character" w:customStyle="1" w:styleId="Char2">
    <w:name w:val="批注框文本 Char"/>
    <w:basedOn w:val="a2"/>
    <w:link w:val="a7"/>
    <w:uiPriority w:val="99"/>
    <w:semiHidden/>
    <w:rsid w:val="00A272B1"/>
    <w:rPr>
      <w:rFonts w:ascii="Times New Roman" w:eastAsia="华文楷体" w:hAnsi="Times New Roman" w:cs="Times New Roman"/>
      <w:kern w:val="0"/>
      <w:sz w:val="18"/>
      <w:szCs w:val="18"/>
      <w:lang w:val="en-GB" w:eastAsia="en-US"/>
    </w:rPr>
  </w:style>
  <w:style w:type="character" w:styleId="a8">
    <w:name w:val="annotation reference"/>
    <w:basedOn w:val="a2"/>
    <w:uiPriority w:val="99"/>
    <w:semiHidden/>
    <w:unhideWhenUsed/>
    <w:rsid w:val="006363DD"/>
    <w:rPr>
      <w:sz w:val="21"/>
      <w:szCs w:val="21"/>
    </w:rPr>
  </w:style>
  <w:style w:type="paragraph" w:styleId="a9">
    <w:name w:val="annotation text"/>
    <w:basedOn w:val="a0"/>
    <w:link w:val="Char3"/>
    <w:uiPriority w:val="99"/>
    <w:semiHidden/>
    <w:unhideWhenUsed/>
    <w:rsid w:val="006363DD"/>
  </w:style>
  <w:style w:type="character" w:customStyle="1" w:styleId="Char3">
    <w:name w:val="批注文字 Char"/>
    <w:basedOn w:val="a2"/>
    <w:link w:val="a9"/>
    <w:uiPriority w:val="99"/>
    <w:semiHidden/>
    <w:rsid w:val="006363DD"/>
    <w:rPr>
      <w:rFonts w:ascii="Times New Roman" w:eastAsia="华文楷体" w:hAnsi="Times New Roman" w:cs="Times New Roman"/>
      <w:kern w:val="0"/>
      <w:sz w:val="22"/>
      <w:lang w:val="en-GB" w:eastAsia="en-US"/>
    </w:rPr>
  </w:style>
  <w:style w:type="paragraph" w:styleId="aa">
    <w:name w:val="annotation subject"/>
    <w:basedOn w:val="a9"/>
    <w:next w:val="a9"/>
    <w:link w:val="Char4"/>
    <w:uiPriority w:val="99"/>
    <w:semiHidden/>
    <w:unhideWhenUsed/>
    <w:rsid w:val="006363DD"/>
    <w:rPr>
      <w:b/>
      <w:bCs/>
    </w:rPr>
  </w:style>
  <w:style w:type="character" w:customStyle="1" w:styleId="Char4">
    <w:name w:val="批注主题 Char"/>
    <w:basedOn w:val="Char3"/>
    <w:link w:val="aa"/>
    <w:uiPriority w:val="99"/>
    <w:semiHidden/>
    <w:rsid w:val="006363DD"/>
    <w:rPr>
      <w:rFonts w:ascii="Times New Roman" w:eastAsia="华文楷体" w:hAnsi="Times New Roman" w:cs="Times New Roman"/>
      <w:b/>
      <w:bCs/>
      <w:kern w:val="0"/>
      <w:sz w:val="22"/>
      <w:lang w:val="en-GB" w:eastAsia="en-US"/>
    </w:rPr>
  </w:style>
  <w:style w:type="character" w:styleId="ab">
    <w:name w:val="Hyperlink"/>
    <w:basedOn w:val="a2"/>
    <w:uiPriority w:val="99"/>
    <w:unhideWhenUsed/>
    <w:rsid w:val="00D80167"/>
    <w:rPr>
      <w:color w:val="0000FF" w:themeColor="hyperlink"/>
      <w:u w:val="single"/>
    </w:rPr>
  </w:style>
  <w:style w:type="paragraph" w:styleId="ac">
    <w:name w:val="No Spacing"/>
    <w:uiPriority w:val="1"/>
    <w:qFormat/>
    <w:rsid w:val="0095717E"/>
    <w:rPr>
      <w:rFonts w:ascii="Times New Roman" w:eastAsia="华文楷体" w:hAnsi="Times New Roman" w:cs="Times New Roman"/>
      <w:kern w:val="0"/>
      <w:sz w:val="22"/>
      <w:lang w:val="en-GB" w:eastAsia="en-US"/>
    </w:rPr>
  </w:style>
  <w:style w:type="paragraph" w:styleId="ad">
    <w:name w:val="Revision"/>
    <w:hidden/>
    <w:uiPriority w:val="99"/>
    <w:semiHidden/>
    <w:rsid w:val="00065F0C"/>
    <w:rPr>
      <w:rFonts w:ascii="Times New Roman" w:eastAsia="华文楷体" w:hAnsi="Times New Roman" w:cs="Times New Roman"/>
      <w:kern w:val="0"/>
      <w:sz w:val="22"/>
      <w:lang w:val="en-GB" w:eastAsia="en-US"/>
    </w:rPr>
  </w:style>
  <w:style w:type="paragraph" w:styleId="ae">
    <w:name w:val="Normal (Web)"/>
    <w:basedOn w:val="a0"/>
    <w:uiPriority w:val="99"/>
    <w:semiHidden/>
    <w:unhideWhenUsed/>
    <w:rsid w:val="00BF0459"/>
    <w:pPr>
      <w:spacing w:before="100" w:beforeAutospacing="1" w:after="100" w:afterAutospacing="1"/>
    </w:pPr>
    <w:rPr>
      <w:rFonts w:ascii="宋体" w:eastAsia="宋体" w:hAnsi="宋体" w:cs="宋体"/>
      <w:sz w:val="24"/>
      <w:szCs w:val="24"/>
      <w:lang w:val="en-US" w:eastAsia="zh-CN"/>
    </w:rPr>
  </w:style>
  <w:style w:type="paragraph" w:styleId="HTML">
    <w:name w:val="HTML Preformatted"/>
    <w:basedOn w:val="a0"/>
    <w:link w:val="HTMLChar"/>
    <w:uiPriority w:val="99"/>
    <w:semiHidden/>
    <w:unhideWhenUsed/>
    <w:rsid w:val="004424CF"/>
    <w:rPr>
      <w:rFonts w:ascii="Consolas" w:hAnsi="Consolas"/>
      <w:sz w:val="20"/>
      <w:szCs w:val="20"/>
    </w:rPr>
  </w:style>
  <w:style w:type="character" w:customStyle="1" w:styleId="HTMLChar">
    <w:name w:val="HTML 预设格式 Char"/>
    <w:basedOn w:val="a2"/>
    <w:link w:val="HTML"/>
    <w:uiPriority w:val="99"/>
    <w:semiHidden/>
    <w:rsid w:val="004424CF"/>
    <w:rPr>
      <w:rFonts w:ascii="Consolas" w:eastAsia="华文楷体" w:hAnsi="Consolas" w:cs="Times New Roman"/>
      <w:kern w:val="0"/>
      <w:sz w:val="20"/>
      <w:szCs w:val="20"/>
      <w:lang w:val="en-GB" w:eastAsia="en-US"/>
    </w:rPr>
  </w:style>
  <w:style w:type="paragraph" w:styleId="af">
    <w:name w:val="Title"/>
    <w:basedOn w:val="a0"/>
    <w:next w:val="a0"/>
    <w:link w:val="Char5"/>
    <w:qFormat/>
    <w:rsid w:val="00462C8E"/>
    <w:pPr>
      <w:spacing w:before="240" w:after="60" w:line="276" w:lineRule="auto"/>
      <w:jc w:val="center"/>
      <w:outlineLvl w:val="0"/>
    </w:pPr>
    <w:rPr>
      <w:rFonts w:asciiTheme="majorHAnsi" w:eastAsia="宋体" w:hAnsiTheme="majorHAnsi" w:cstheme="majorBidi"/>
      <w:b/>
      <w:bCs/>
      <w:sz w:val="32"/>
      <w:szCs w:val="32"/>
      <w:lang w:val="en-US" w:eastAsia="zh-CN"/>
    </w:rPr>
  </w:style>
  <w:style w:type="character" w:customStyle="1" w:styleId="Char5">
    <w:name w:val="标题 Char"/>
    <w:basedOn w:val="a2"/>
    <w:link w:val="af"/>
    <w:rsid w:val="00462C8E"/>
    <w:rPr>
      <w:rFonts w:asciiTheme="majorHAnsi" w:eastAsia="宋体" w:hAnsiTheme="majorHAnsi" w:cstheme="majorBidi"/>
      <w:b/>
      <w:bCs/>
      <w:kern w:val="0"/>
      <w:sz w:val="32"/>
      <w:szCs w:val="32"/>
    </w:rPr>
  </w:style>
  <w:style w:type="paragraph" w:styleId="af0">
    <w:name w:val="footnote text"/>
    <w:basedOn w:val="a0"/>
    <w:link w:val="Char6"/>
    <w:uiPriority w:val="99"/>
    <w:rsid w:val="00462C8E"/>
    <w:pPr>
      <w:overflowPunct w:val="0"/>
      <w:autoSpaceDE w:val="0"/>
      <w:autoSpaceDN w:val="0"/>
      <w:adjustRightInd w:val="0"/>
      <w:snapToGrid w:val="0"/>
      <w:spacing w:after="120"/>
      <w:textAlignment w:val="baseline"/>
    </w:pPr>
    <w:rPr>
      <w:rFonts w:ascii="Arial" w:eastAsia="宋体" w:hAnsi="Arial"/>
      <w:sz w:val="18"/>
      <w:szCs w:val="18"/>
      <w:lang w:val="x-none"/>
    </w:rPr>
  </w:style>
  <w:style w:type="character" w:customStyle="1" w:styleId="Char6">
    <w:name w:val="脚注文本 Char"/>
    <w:basedOn w:val="a2"/>
    <w:link w:val="af0"/>
    <w:uiPriority w:val="99"/>
    <w:rsid w:val="00462C8E"/>
    <w:rPr>
      <w:rFonts w:ascii="Arial" w:eastAsia="宋体" w:hAnsi="Arial" w:cs="Times New Roman"/>
      <w:kern w:val="0"/>
      <w:sz w:val="18"/>
      <w:szCs w:val="18"/>
      <w:lang w:val="x-none" w:eastAsia="en-US"/>
    </w:rPr>
  </w:style>
  <w:style w:type="character" w:styleId="af1">
    <w:name w:val="footnote reference"/>
    <w:uiPriority w:val="99"/>
    <w:rsid w:val="00462C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4084"/>
    <w:rPr>
      <w:rFonts w:ascii="Times New Roman" w:eastAsia="华文楷体" w:hAnsi="Times New Roman" w:cs="Times New Roman"/>
      <w:kern w:val="0"/>
      <w:sz w:val="22"/>
      <w:lang w:val="en-GB" w:eastAsia="en-US"/>
    </w:rPr>
  </w:style>
  <w:style w:type="paragraph" w:styleId="1">
    <w:name w:val="heading 1"/>
    <w:next w:val="a1"/>
    <w:link w:val="1Char"/>
    <w:autoRedefine/>
    <w:uiPriority w:val="9"/>
    <w:qFormat/>
    <w:rsid w:val="009E4084"/>
    <w:pPr>
      <w:pageBreakBefore/>
      <w:spacing w:beforeLines="100" w:before="240" w:afterLines="50" w:after="120"/>
      <w:outlineLvl w:val="0"/>
    </w:pPr>
    <w:rPr>
      <w:rFonts w:ascii="彩虹黑体" w:eastAsia="彩虹黑体" w:hAnsi="Arial" w:cs="Times New Roman"/>
      <w:kern w:val="0"/>
      <w:sz w:val="30"/>
      <w:szCs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9E4084"/>
    <w:rPr>
      <w:rFonts w:ascii="彩虹黑体" w:eastAsia="彩虹黑体" w:hAnsi="Arial" w:cs="Times New Roman"/>
      <w:kern w:val="0"/>
      <w:sz w:val="30"/>
      <w:szCs w:val="30"/>
    </w:rPr>
  </w:style>
  <w:style w:type="paragraph" w:styleId="a">
    <w:name w:val="List Bullet"/>
    <w:basedOn w:val="a1"/>
    <w:uiPriority w:val="99"/>
    <w:rsid w:val="009E4084"/>
    <w:pPr>
      <w:numPr>
        <w:numId w:val="1"/>
      </w:numPr>
      <w:tabs>
        <w:tab w:val="clear" w:pos="5557"/>
        <w:tab w:val="num" w:pos="360"/>
      </w:tabs>
      <w:spacing w:before="130" w:after="130"/>
      <w:ind w:left="0" w:firstLine="0"/>
      <w:jc w:val="both"/>
    </w:pPr>
    <w:rPr>
      <w:rFonts w:ascii="Tms Rmn" w:hAnsi="Tms Rmn"/>
    </w:rPr>
  </w:style>
  <w:style w:type="paragraph" w:styleId="a1">
    <w:name w:val="Body Text"/>
    <w:basedOn w:val="a0"/>
    <w:link w:val="Char"/>
    <w:uiPriority w:val="99"/>
    <w:unhideWhenUsed/>
    <w:rsid w:val="009E4084"/>
    <w:pPr>
      <w:spacing w:after="120"/>
    </w:pPr>
  </w:style>
  <w:style w:type="character" w:customStyle="1" w:styleId="Char">
    <w:name w:val="正文文本 Char"/>
    <w:basedOn w:val="a2"/>
    <w:link w:val="a1"/>
    <w:uiPriority w:val="99"/>
    <w:rsid w:val="009E4084"/>
    <w:rPr>
      <w:rFonts w:ascii="Times New Roman" w:eastAsia="华文楷体" w:hAnsi="Times New Roman" w:cs="Times New Roman"/>
      <w:kern w:val="0"/>
      <w:sz w:val="22"/>
      <w:lang w:val="en-GB" w:eastAsia="en-US"/>
    </w:rPr>
  </w:style>
  <w:style w:type="paragraph" w:styleId="a5">
    <w:name w:val="header"/>
    <w:basedOn w:val="a0"/>
    <w:link w:val="Char0"/>
    <w:uiPriority w:val="99"/>
    <w:unhideWhenUsed/>
    <w:rsid w:val="005C5D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5"/>
    <w:uiPriority w:val="99"/>
    <w:rsid w:val="005C5D4D"/>
    <w:rPr>
      <w:rFonts w:ascii="Times New Roman" w:eastAsia="华文楷体" w:hAnsi="Times New Roman" w:cs="Times New Roman"/>
      <w:kern w:val="0"/>
      <w:sz w:val="18"/>
      <w:szCs w:val="18"/>
      <w:lang w:val="en-GB" w:eastAsia="en-US"/>
    </w:rPr>
  </w:style>
  <w:style w:type="paragraph" w:styleId="a6">
    <w:name w:val="footer"/>
    <w:basedOn w:val="a0"/>
    <w:link w:val="Char1"/>
    <w:uiPriority w:val="99"/>
    <w:unhideWhenUsed/>
    <w:rsid w:val="005C5D4D"/>
    <w:pPr>
      <w:tabs>
        <w:tab w:val="center" w:pos="4153"/>
        <w:tab w:val="right" w:pos="8306"/>
      </w:tabs>
      <w:snapToGrid w:val="0"/>
    </w:pPr>
    <w:rPr>
      <w:sz w:val="18"/>
      <w:szCs w:val="18"/>
    </w:rPr>
  </w:style>
  <w:style w:type="character" w:customStyle="1" w:styleId="Char1">
    <w:name w:val="页脚 Char"/>
    <w:basedOn w:val="a2"/>
    <w:link w:val="a6"/>
    <w:uiPriority w:val="99"/>
    <w:rsid w:val="005C5D4D"/>
    <w:rPr>
      <w:rFonts w:ascii="Times New Roman" w:eastAsia="华文楷体" w:hAnsi="Times New Roman" w:cs="Times New Roman"/>
      <w:kern w:val="0"/>
      <w:sz w:val="18"/>
      <w:szCs w:val="18"/>
      <w:lang w:val="en-GB" w:eastAsia="en-US"/>
    </w:rPr>
  </w:style>
  <w:style w:type="paragraph" w:styleId="a7">
    <w:name w:val="Balloon Text"/>
    <w:basedOn w:val="a0"/>
    <w:link w:val="Char2"/>
    <w:uiPriority w:val="99"/>
    <w:semiHidden/>
    <w:unhideWhenUsed/>
    <w:rsid w:val="00A272B1"/>
    <w:rPr>
      <w:sz w:val="18"/>
      <w:szCs w:val="18"/>
    </w:rPr>
  </w:style>
  <w:style w:type="character" w:customStyle="1" w:styleId="Char2">
    <w:name w:val="批注框文本 Char"/>
    <w:basedOn w:val="a2"/>
    <w:link w:val="a7"/>
    <w:uiPriority w:val="99"/>
    <w:semiHidden/>
    <w:rsid w:val="00A272B1"/>
    <w:rPr>
      <w:rFonts w:ascii="Times New Roman" w:eastAsia="华文楷体" w:hAnsi="Times New Roman" w:cs="Times New Roman"/>
      <w:kern w:val="0"/>
      <w:sz w:val="18"/>
      <w:szCs w:val="18"/>
      <w:lang w:val="en-GB" w:eastAsia="en-US"/>
    </w:rPr>
  </w:style>
  <w:style w:type="character" w:styleId="a8">
    <w:name w:val="annotation reference"/>
    <w:basedOn w:val="a2"/>
    <w:uiPriority w:val="99"/>
    <w:semiHidden/>
    <w:unhideWhenUsed/>
    <w:rsid w:val="006363DD"/>
    <w:rPr>
      <w:sz w:val="21"/>
      <w:szCs w:val="21"/>
    </w:rPr>
  </w:style>
  <w:style w:type="paragraph" w:styleId="a9">
    <w:name w:val="annotation text"/>
    <w:basedOn w:val="a0"/>
    <w:link w:val="Char3"/>
    <w:uiPriority w:val="99"/>
    <w:semiHidden/>
    <w:unhideWhenUsed/>
    <w:rsid w:val="006363DD"/>
  </w:style>
  <w:style w:type="character" w:customStyle="1" w:styleId="Char3">
    <w:name w:val="批注文字 Char"/>
    <w:basedOn w:val="a2"/>
    <w:link w:val="a9"/>
    <w:uiPriority w:val="99"/>
    <w:semiHidden/>
    <w:rsid w:val="006363DD"/>
    <w:rPr>
      <w:rFonts w:ascii="Times New Roman" w:eastAsia="华文楷体" w:hAnsi="Times New Roman" w:cs="Times New Roman"/>
      <w:kern w:val="0"/>
      <w:sz w:val="22"/>
      <w:lang w:val="en-GB" w:eastAsia="en-US"/>
    </w:rPr>
  </w:style>
  <w:style w:type="paragraph" w:styleId="aa">
    <w:name w:val="annotation subject"/>
    <w:basedOn w:val="a9"/>
    <w:next w:val="a9"/>
    <w:link w:val="Char4"/>
    <w:uiPriority w:val="99"/>
    <w:semiHidden/>
    <w:unhideWhenUsed/>
    <w:rsid w:val="006363DD"/>
    <w:rPr>
      <w:b/>
      <w:bCs/>
    </w:rPr>
  </w:style>
  <w:style w:type="character" w:customStyle="1" w:styleId="Char4">
    <w:name w:val="批注主题 Char"/>
    <w:basedOn w:val="Char3"/>
    <w:link w:val="aa"/>
    <w:uiPriority w:val="99"/>
    <w:semiHidden/>
    <w:rsid w:val="006363DD"/>
    <w:rPr>
      <w:rFonts w:ascii="Times New Roman" w:eastAsia="华文楷体" w:hAnsi="Times New Roman" w:cs="Times New Roman"/>
      <w:b/>
      <w:bCs/>
      <w:kern w:val="0"/>
      <w:sz w:val="22"/>
      <w:lang w:val="en-GB" w:eastAsia="en-US"/>
    </w:rPr>
  </w:style>
  <w:style w:type="character" w:styleId="ab">
    <w:name w:val="Hyperlink"/>
    <w:basedOn w:val="a2"/>
    <w:uiPriority w:val="99"/>
    <w:unhideWhenUsed/>
    <w:rsid w:val="00D80167"/>
    <w:rPr>
      <w:color w:val="0000FF" w:themeColor="hyperlink"/>
      <w:u w:val="single"/>
    </w:rPr>
  </w:style>
  <w:style w:type="paragraph" w:styleId="ac">
    <w:name w:val="No Spacing"/>
    <w:uiPriority w:val="1"/>
    <w:qFormat/>
    <w:rsid w:val="0095717E"/>
    <w:rPr>
      <w:rFonts w:ascii="Times New Roman" w:eastAsia="华文楷体" w:hAnsi="Times New Roman" w:cs="Times New Roman"/>
      <w:kern w:val="0"/>
      <w:sz w:val="22"/>
      <w:lang w:val="en-GB" w:eastAsia="en-US"/>
    </w:rPr>
  </w:style>
  <w:style w:type="paragraph" w:styleId="ad">
    <w:name w:val="Revision"/>
    <w:hidden/>
    <w:uiPriority w:val="99"/>
    <w:semiHidden/>
    <w:rsid w:val="00065F0C"/>
    <w:rPr>
      <w:rFonts w:ascii="Times New Roman" w:eastAsia="华文楷体" w:hAnsi="Times New Roman" w:cs="Times New Roman"/>
      <w:kern w:val="0"/>
      <w:sz w:val="22"/>
      <w:lang w:val="en-GB" w:eastAsia="en-US"/>
    </w:rPr>
  </w:style>
  <w:style w:type="paragraph" w:styleId="ae">
    <w:name w:val="Normal (Web)"/>
    <w:basedOn w:val="a0"/>
    <w:uiPriority w:val="99"/>
    <w:semiHidden/>
    <w:unhideWhenUsed/>
    <w:rsid w:val="00BF0459"/>
    <w:pPr>
      <w:spacing w:before="100" w:beforeAutospacing="1" w:after="100" w:afterAutospacing="1"/>
    </w:pPr>
    <w:rPr>
      <w:rFonts w:ascii="宋体" w:eastAsia="宋体" w:hAnsi="宋体" w:cs="宋体"/>
      <w:sz w:val="24"/>
      <w:szCs w:val="24"/>
      <w:lang w:val="en-US" w:eastAsia="zh-CN"/>
    </w:rPr>
  </w:style>
  <w:style w:type="paragraph" w:styleId="HTML">
    <w:name w:val="HTML Preformatted"/>
    <w:basedOn w:val="a0"/>
    <w:link w:val="HTMLChar"/>
    <w:uiPriority w:val="99"/>
    <w:semiHidden/>
    <w:unhideWhenUsed/>
    <w:rsid w:val="004424CF"/>
    <w:rPr>
      <w:rFonts w:ascii="Consolas" w:hAnsi="Consolas"/>
      <w:sz w:val="20"/>
      <w:szCs w:val="20"/>
    </w:rPr>
  </w:style>
  <w:style w:type="character" w:customStyle="1" w:styleId="HTMLChar">
    <w:name w:val="HTML 预设格式 Char"/>
    <w:basedOn w:val="a2"/>
    <w:link w:val="HTML"/>
    <w:uiPriority w:val="99"/>
    <w:semiHidden/>
    <w:rsid w:val="004424CF"/>
    <w:rPr>
      <w:rFonts w:ascii="Consolas" w:eastAsia="华文楷体" w:hAnsi="Consolas" w:cs="Times New Roman"/>
      <w:kern w:val="0"/>
      <w:sz w:val="20"/>
      <w:szCs w:val="20"/>
      <w:lang w:val="en-GB" w:eastAsia="en-US"/>
    </w:rPr>
  </w:style>
  <w:style w:type="paragraph" w:styleId="af">
    <w:name w:val="Title"/>
    <w:basedOn w:val="a0"/>
    <w:next w:val="a0"/>
    <w:link w:val="Char5"/>
    <w:qFormat/>
    <w:rsid w:val="00462C8E"/>
    <w:pPr>
      <w:spacing w:before="240" w:after="60" w:line="276" w:lineRule="auto"/>
      <w:jc w:val="center"/>
      <w:outlineLvl w:val="0"/>
    </w:pPr>
    <w:rPr>
      <w:rFonts w:asciiTheme="majorHAnsi" w:eastAsia="宋体" w:hAnsiTheme="majorHAnsi" w:cstheme="majorBidi"/>
      <w:b/>
      <w:bCs/>
      <w:sz w:val="32"/>
      <w:szCs w:val="32"/>
      <w:lang w:val="en-US" w:eastAsia="zh-CN"/>
    </w:rPr>
  </w:style>
  <w:style w:type="character" w:customStyle="1" w:styleId="Char5">
    <w:name w:val="标题 Char"/>
    <w:basedOn w:val="a2"/>
    <w:link w:val="af"/>
    <w:rsid w:val="00462C8E"/>
    <w:rPr>
      <w:rFonts w:asciiTheme="majorHAnsi" w:eastAsia="宋体" w:hAnsiTheme="majorHAnsi" w:cstheme="majorBidi"/>
      <w:b/>
      <w:bCs/>
      <w:kern w:val="0"/>
      <w:sz w:val="32"/>
      <w:szCs w:val="32"/>
    </w:rPr>
  </w:style>
  <w:style w:type="paragraph" w:styleId="af0">
    <w:name w:val="footnote text"/>
    <w:basedOn w:val="a0"/>
    <w:link w:val="Char6"/>
    <w:uiPriority w:val="99"/>
    <w:rsid w:val="00462C8E"/>
    <w:pPr>
      <w:overflowPunct w:val="0"/>
      <w:autoSpaceDE w:val="0"/>
      <w:autoSpaceDN w:val="0"/>
      <w:adjustRightInd w:val="0"/>
      <w:snapToGrid w:val="0"/>
      <w:spacing w:after="120"/>
      <w:textAlignment w:val="baseline"/>
    </w:pPr>
    <w:rPr>
      <w:rFonts w:ascii="Arial" w:eastAsia="宋体" w:hAnsi="Arial"/>
      <w:sz w:val="18"/>
      <w:szCs w:val="18"/>
      <w:lang w:val="x-none"/>
    </w:rPr>
  </w:style>
  <w:style w:type="character" w:customStyle="1" w:styleId="Char6">
    <w:name w:val="脚注文本 Char"/>
    <w:basedOn w:val="a2"/>
    <w:link w:val="af0"/>
    <w:uiPriority w:val="99"/>
    <w:rsid w:val="00462C8E"/>
    <w:rPr>
      <w:rFonts w:ascii="Arial" w:eastAsia="宋体" w:hAnsi="Arial" w:cs="Times New Roman"/>
      <w:kern w:val="0"/>
      <w:sz w:val="18"/>
      <w:szCs w:val="18"/>
      <w:lang w:val="x-none" w:eastAsia="en-US"/>
    </w:rPr>
  </w:style>
  <w:style w:type="character" w:styleId="af1">
    <w:name w:val="footnote reference"/>
    <w:uiPriority w:val="99"/>
    <w:rsid w:val="00462C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75125">
      <w:bodyDiv w:val="1"/>
      <w:marLeft w:val="0"/>
      <w:marRight w:val="0"/>
      <w:marTop w:val="0"/>
      <w:marBottom w:val="0"/>
      <w:divBdr>
        <w:top w:val="none" w:sz="0" w:space="0" w:color="auto"/>
        <w:left w:val="none" w:sz="0" w:space="0" w:color="auto"/>
        <w:bottom w:val="none" w:sz="0" w:space="0" w:color="auto"/>
        <w:right w:val="none" w:sz="0" w:space="0" w:color="auto"/>
      </w:divBdr>
    </w:div>
    <w:div w:id="447161512">
      <w:bodyDiv w:val="1"/>
      <w:marLeft w:val="0"/>
      <w:marRight w:val="0"/>
      <w:marTop w:val="0"/>
      <w:marBottom w:val="0"/>
      <w:divBdr>
        <w:top w:val="none" w:sz="0" w:space="0" w:color="auto"/>
        <w:left w:val="none" w:sz="0" w:space="0" w:color="auto"/>
        <w:bottom w:val="none" w:sz="0" w:space="0" w:color="auto"/>
        <w:right w:val="none" w:sz="0" w:space="0" w:color="auto"/>
      </w:divBdr>
      <w:divsChild>
        <w:div w:id="1767379439">
          <w:marLeft w:val="0"/>
          <w:marRight w:val="0"/>
          <w:marTop w:val="0"/>
          <w:marBottom w:val="0"/>
          <w:divBdr>
            <w:top w:val="none" w:sz="0" w:space="0" w:color="auto"/>
            <w:left w:val="none" w:sz="0" w:space="0" w:color="auto"/>
            <w:bottom w:val="none" w:sz="0" w:space="0" w:color="auto"/>
            <w:right w:val="none" w:sz="0" w:space="0" w:color="auto"/>
          </w:divBdr>
          <w:divsChild>
            <w:div w:id="99953476">
              <w:marLeft w:val="0"/>
              <w:marRight w:val="0"/>
              <w:marTop w:val="0"/>
              <w:marBottom w:val="0"/>
              <w:divBdr>
                <w:top w:val="none" w:sz="0" w:space="0" w:color="auto"/>
                <w:left w:val="none" w:sz="0" w:space="0" w:color="auto"/>
                <w:bottom w:val="none" w:sz="0" w:space="0" w:color="auto"/>
                <w:right w:val="none" w:sz="0" w:space="0" w:color="auto"/>
              </w:divBdr>
              <w:divsChild>
                <w:div w:id="1107235725">
                  <w:marLeft w:val="0"/>
                  <w:marRight w:val="0"/>
                  <w:marTop w:val="0"/>
                  <w:marBottom w:val="0"/>
                  <w:divBdr>
                    <w:top w:val="none" w:sz="0" w:space="0" w:color="auto"/>
                    <w:left w:val="none" w:sz="0" w:space="0" w:color="auto"/>
                    <w:bottom w:val="none" w:sz="0" w:space="0" w:color="auto"/>
                    <w:right w:val="none" w:sz="0" w:space="0" w:color="auto"/>
                  </w:divBdr>
                  <w:divsChild>
                    <w:div w:id="1038168076">
                      <w:marLeft w:val="0"/>
                      <w:marRight w:val="0"/>
                      <w:marTop w:val="0"/>
                      <w:marBottom w:val="0"/>
                      <w:divBdr>
                        <w:top w:val="none" w:sz="0" w:space="0" w:color="auto"/>
                        <w:left w:val="none" w:sz="0" w:space="0" w:color="auto"/>
                        <w:bottom w:val="none" w:sz="0" w:space="0" w:color="auto"/>
                        <w:right w:val="none" w:sz="0" w:space="0" w:color="auto"/>
                      </w:divBdr>
                      <w:divsChild>
                        <w:div w:id="149636996">
                          <w:marLeft w:val="0"/>
                          <w:marRight w:val="0"/>
                          <w:marTop w:val="0"/>
                          <w:marBottom w:val="0"/>
                          <w:divBdr>
                            <w:top w:val="none" w:sz="0" w:space="0" w:color="auto"/>
                            <w:left w:val="none" w:sz="0" w:space="0" w:color="auto"/>
                            <w:bottom w:val="none" w:sz="0" w:space="0" w:color="auto"/>
                            <w:right w:val="none" w:sz="0" w:space="0" w:color="auto"/>
                          </w:divBdr>
                          <w:divsChild>
                            <w:div w:id="1550609973">
                              <w:marLeft w:val="0"/>
                              <w:marRight w:val="0"/>
                              <w:marTop w:val="0"/>
                              <w:marBottom w:val="0"/>
                              <w:divBdr>
                                <w:top w:val="none" w:sz="0" w:space="0" w:color="auto"/>
                                <w:left w:val="none" w:sz="0" w:space="0" w:color="auto"/>
                                <w:bottom w:val="none" w:sz="0" w:space="0" w:color="auto"/>
                                <w:right w:val="none" w:sz="0" w:space="0" w:color="auto"/>
                              </w:divBdr>
                              <w:divsChild>
                                <w:div w:id="1709644147">
                                  <w:marLeft w:val="0"/>
                                  <w:marRight w:val="0"/>
                                  <w:marTop w:val="0"/>
                                  <w:marBottom w:val="0"/>
                                  <w:divBdr>
                                    <w:top w:val="none" w:sz="0" w:space="0" w:color="auto"/>
                                    <w:left w:val="none" w:sz="0" w:space="0" w:color="auto"/>
                                    <w:bottom w:val="none" w:sz="0" w:space="0" w:color="auto"/>
                                    <w:right w:val="none" w:sz="0" w:space="0" w:color="auto"/>
                                  </w:divBdr>
                                  <w:divsChild>
                                    <w:div w:id="122162957">
                                      <w:marLeft w:val="0"/>
                                      <w:marRight w:val="0"/>
                                      <w:marTop w:val="0"/>
                                      <w:marBottom w:val="0"/>
                                      <w:divBdr>
                                        <w:top w:val="none" w:sz="0" w:space="0" w:color="auto"/>
                                        <w:left w:val="none" w:sz="0" w:space="0" w:color="auto"/>
                                        <w:bottom w:val="none" w:sz="0" w:space="0" w:color="auto"/>
                                        <w:right w:val="none" w:sz="0" w:space="0" w:color="auto"/>
                                      </w:divBdr>
                                      <w:divsChild>
                                        <w:div w:id="1319266068">
                                          <w:marLeft w:val="0"/>
                                          <w:marRight w:val="0"/>
                                          <w:marTop w:val="0"/>
                                          <w:marBottom w:val="0"/>
                                          <w:divBdr>
                                            <w:top w:val="none" w:sz="0" w:space="0" w:color="auto"/>
                                            <w:left w:val="none" w:sz="0" w:space="0" w:color="auto"/>
                                            <w:bottom w:val="none" w:sz="0" w:space="0" w:color="auto"/>
                                            <w:right w:val="none" w:sz="0" w:space="0" w:color="auto"/>
                                          </w:divBdr>
                                          <w:divsChild>
                                            <w:div w:id="3256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916054">
      <w:bodyDiv w:val="1"/>
      <w:marLeft w:val="0"/>
      <w:marRight w:val="0"/>
      <w:marTop w:val="0"/>
      <w:marBottom w:val="0"/>
      <w:divBdr>
        <w:top w:val="none" w:sz="0" w:space="0" w:color="auto"/>
        <w:left w:val="none" w:sz="0" w:space="0" w:color="auto"/>
        <w:bottom w:val="none" w:sz="0" w:space="0" w:color="auto"/>
        <w:right w:val="none" w:sz="0" w:space="0" w:color="auto"/>
      </w:divBdr>
    </w:div>
    <w:div w:id="782846813">
      <w:bodyDiv w:val="1"/>
      <w:marLeft w:val="0"/>
      <w:marRight w:val="0"/>
      <w:marTop w:val="0"/>
      <w:marBottom w:val="0"/>
      <w:divBdr>
        <w:top w:val="none" w:sz="0" w:space="0" w:color="auto"/>
        <w:left w:val="none" w:sz="0" w:space="0" w:color="auto"/>
        <w:bottom w:val="none" w:sz="0" w:space="0" w:color="auto"/>
        <w:right w:val="none" w:sz="0" w:space="0" w:color="auto"/>
      </w:divBdr>
    </w:div>
    <w:div w:id="854687168">
      <w:bodyDiv w:val="1"/>
      <w:marLeft w:val="0"/>
      <w:marRight w:val="0"/>
      <w:marTop w:val="0"/>
      <w:marBottom w:val="0"/>
      <w:divBdr>
        <w:top w:val="none" w:sz="0" w:space="0" w:color="auto"/>
        <w:left w:val="none" w:sz="0" w:space="0" w:color="auto"/>
        <w:bottom w:val="none" w:sz="0" w:space="0" w:color="auto"/>
        <w:right w:val="none" w:sz="0" w:space="0" w:color="auto"/>
      </w:divBdr>
      <w:divsChild>
        <w:div w:id="871648536">
          <w:marLeft w:val="0"/>
          <w:marRight w:val="0"/>
          <w:marTop w:val="0"/>
          <w:marBottom w:val="0"/>
          <w:divBdr>
            <w:top w:val="none" w:sz="0" w:space="0" w:color="auto"/>
            <w:left w:val="none" w:sz="0" w:space="0" w:color="auto"/>
            <w:bottom w:val="none" w:sz="0" w:space="0" w:color="auto"/>
            <w:right w:val="none" w:sz="0" w:space="0" w:color="auto"/>
          </w:divBdr>
          <w:divsChild>
            <w:div w:id="1801217389">
              <w:marLeft w:val="0"/>
              <w:marRight w:val="0"/>
              <w:marTop w:val="0"/>
              <w:marBottom w:val="0"/>
              <w:divBdr>
                <w:top w:val="none" w:sz="0" w:space="0" w:color="auto"/>
                <w:left w:val="none" w:sz="0" w:space="0" w:color="auto"/>
                <w:bottom w:val="none" w:sz="0" w:space="0" w:color="auto"/>
                <w:right w:val="none" w:sz="0" w:space="0" w:color="auto"/>
              </w:divBdr>
              <w:divsChild>
                <w:div w:id="1554464195">
                  <w:marLeft w:val="0"/>
                  <w:marRight w:val="0"/>
                  <w:marTop w:val="0"/>
                  <w:marBottom w:val="0"/>
                  <w:divBdr>
                    <w:top w:val="none" w:sz="0" w:space="0" w:color="auto"/>
                    <w:left w:val="none" w:sz="0" w:space="0" w:color="auto"/>
                    <w:bottom w:val="none" w:sz="0" w:space="0" w:color="auto"/>
                    <w:right w:val="none" w:sz="0" w:space="0" w:color="auto"/>
                  </w:divBdr>
                  <w:divsChild>
                    <w:div w:id="2044819884">
                      <w:marLeft w:val="0"/>
                      <w:marRight w:val="0"/>
                      <w:marTop w:val="0"/>
                      <w:marBottom w:val="0"/>
                      <w:divBdr>
                        <w:top w:val="none" w:sz="0" w:space="0" w:color="auto"/>
                        <w:left w:val="none" w:sz="0" w:space="0" w:color="auto"/>
                        <w:bottom w:val="none" w:sz="0" w:space="0" w:color="auto"/>
                        <w:right w:val="none" w:sz="0" w:space="0" w:color="auto"/>
                      </w:divBdr>
                      <w:divsChild>
                        <w:div w:id="1113600490">
                          <w:marLeft w:val="0"/>
                          <w:marRight w:val="0"/>
                          <w:marTop w:val="0"/>
                          <w:marBottom w:val="0"/>
                          <w:divBdr>
                            <w:top w:val="none" w:sz="0" w:space="0" w:color="auto"/>
                            <w:left w:val="none" w:sz="0" w:space="0" w:color="auto"/>
                            <w:bottom w:val="none" w:sz="0" w:space="0" w:color="auto"/>
                            <w:right w:val="none" w:sz="0" w:space="0" w:color="auto"/>
                          </w:divBdr>
                          <w:divsChild>
                            <w:div w:id="1868635527">
                              <w:marLeft w:val="0"/>
                              <w:marRight w:val="0"/>
                              <w:marTop w:val="0"/>
                              <w:marBottom w:val="0"/>
                              <w:divBdr>
                                <w:top w:val="none" w:sz="0" w:space="0" w:color="auto"/>
                                <w:left w:val="none" w:sz="0" w:space="0" w:color="auto"/>
                                <w:bottom w:val="none" w:sz="0" w:space="0" w:color="auto"/>
                                <w:right w:val="none" w:sz="0" w:space="0" w:color="auto"/>
                              </w:divBdr>
                              <w:divsChild>
                                <w:div w:id="1455367377">
                                  <w:marLeft w:val="0"/>
                                  <w:marRight w:val="0"/>
                                  <w:marTop w:val="0"/>
                                  <w:marBottom w:val="0"/>
                                  <w:divBdr>
                                    <w:top w:val="none" w:sz="0" w:space="0" w:color="auto"/>
                                    <w:left w:val="none" w:sz="0" w:space="0" w:color="auto"/>
                                    <w:bottom w:val="none" w:sz="0" w:space="0" w:color="auto"/>
                                    <w:right w:val="none" w:sz="0" w:space="0" w:color="auto"/>
                                  </w:divBdr>
                                  <w:divsChild>
                                    <w:div w:id="1453399001">
                                      <w:marLeft w:val="0"/>
                                      <w:marRight w:val="0"/>
                                      <w:marTop w:val="0"/>
                                      <w:marBottom w:val="0"/>
                                      <w:divBdr>
                                        <w:top w:val="none" w:sz="0" w:space="0" w:color="auto"/>
                                        <w:left w:val="none" w:sz="0" w:space="0" w:color="auto"/>
                                        <w:bottom w:val="none" w:sz="0" w:space="0" w:color="auto"/>
                                        <w:right w:val="none" w:sz="0" w:space="0" w:color="auto"/>
                                      </w:divBdr>
                                      <w:divsChild>
                                        <w:div w:id="1082726110">
                                          <w:marLeft w:val="0"/>
                                          <w:marRight w:val="0"/>
                                          <w:marTop w:val="0"/>
                                          <w:marBottom w:val="0"/>
                                          <w:divBdr>
                                            <w:top w:val="none" w:sz="0" w:space="0" w:color="auto"/>
                                            <w:left w:val="none" w:sz="0" w:space="0" w:color="auto"/>
                                            <w:bottom w:val="none" w:sz="0" w:space="0" w:color="auto"/>
                                            <w:right w:val="none" w:sz="0" w:space="0" w:color="auto"/>
                                          </w:divBdr>
                                          <w:divsChild>
                                            <w:div w:id="18362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780381">
      <w:bodyDiv w:val="1"/>
      <w:marLeft w:val="0"/>
      <w:marRight w:val="0"/>
      <w:marTop w:val="0"/>
      <w:marBottom w:val="0"/>
      <w:divBdr>
        <w:top w:val="none" w:sz="0" w:space="0" w:color="auto"/>
        <w:left w:val="none" w:sz="0" w:space="0" w:color="auto"/>
        <w:bottom w:val="none" w:sz="0" w:space="0" w:color="auto"/>
        <w:right w:val="none" w:sz="0" w:space="0" w:color="auto"/>
      </w:divBdr>
    </w:div>
    <w:div w:id="1710062459">
      <w:bodyDiv w:val="1"/>
      <w:marLeft w:val="0"/>
      <w:marRight w:val="0"/>
      <w:marTop w:val="0"/>
      <w:marBottom w:val="0"/>
      <w:divBdr>
        <w:top w:val="none" w:sz="0" w:space="0" w:color="auto"/>
        <w:left w:val="none" w:sz="0" w:space="0" w:color="auto"/>
        <w:bottom w:val="none" w:sz="0" w:space="0" w:color="auto"/>
        <w:right w:val="none" w:sz="0" w:space="0" w:color="auto"/>
      </w:divBdr>
    </w:div>
    <w:div w:id="1802729622">
      <w:bodyDiv w:val="1"/>
      <w:marLeft w:val="0"/>
      <w:marRight w:val="0"/>
      <w:marTop w:val="0"/>
      <w:marBottom w:val="0"/>
      <w:divBdr>
        <w:top w:val="none" w:sz="0" w:space="0" w:color="auto"/>
        <w:left w:val="none" w:sz="0" w:space="0" w:color="auto"/>
        <w:bottom w:val="none" w:sz="0" w:space="0" w:color="auto"/>
        <w:right w:val="none" w:sz="0" w:space="0" w:color="auto"/>
      </w:divBdr>
    </w:div>
    <w:div w:id="20409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26B20-36B1-4534-99D1-49C284D4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李承阳</dc:creator>
  <cp:lastModifiedBy>张天</cp:lastModifiedBy>
  <cp:revision>4</cp:revision>
  <cp:lastPrinted>2017-08-30T13:34:00Z</cp:lastPrinted>
  <dcterms:created xsi:type="dcterms:W3CDTF">2018-10-23T11:58:00Z</dcterms:created>
  <dcterms:modified xsi:type="dcterms:W3CDTF">2018-10-24T01:22:00Z</dcterms:modified>
</cp:coreProperties>
</file>